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E7C7" w14:textId="77777777" w:rsidR="00697948" w:rsidRPr="00956EDA" w:rsidRDefault="00697948" w:rsidP="00697AEF">
      <w:pPr>
        <w:spacing w:after="0"/>
        <w:jc w:val="center"/>
        <w:rPr>
          <w:rFonts w:eastAsia="Times New Roman" w:cstheme="minorHAnsi"/>
          <w:b/>
        </w:rPr>
      </w:pPr>
      <w:r w:rsidRPr="00956EDA">
        <w:rPr>
          <w:rFonts w:eastAsia="Times New Roman" w:cstheme="minorHAnsi"/>
          <w:b/>
        </w:rPr>
        <w:t>The University of North Carolina</w:t>
      </w:r>
      <w:r w:rsidR="00110EF7" w:rsidRPr="00956EDA">
        <w:rPr>
          <w:rFonts w:eastAsia="Times New Roman" w:cstheme="minorHAnsi"/>
          <w:b/>
        </w:rPr>
        <w:t xml:space="preserve"> at Greensboro</w:t>
      </w:r>
    </w:p>
    <w:p w14:paraId="537AAEF5" w14:textId="77777777" w:rsidR="00697948" w:rsidRPr="00956EDA" w:rsidRDefault="002C6442" w:rsidP="00697AEF">
      <w:pPr>
        <w:tabs>
          <w:tab w:val="center" w:pos="4680"/>
          <w:tab w:val="left" w:pos="6186"/>
        </w:tabs>
        <w:rPr>
          <w:rFonts w:eastAsia="Times New Roman" w:cstheme="minorHAnsi"/>
          <w:b/>
        </w:rPr>
      </w:pPr>
      <w:r w:rsidRPr="00956EDA">
        <w:rPr>
          <w:rFonts w:eastAsia="Times New Roman" w:cstheme="minorHAnsi"/>
          <w:b/>
        </w:rPr>
        <w:tab/>
      </w:r>
      <w:r w:rsidR="00697948" w:rsidRPr="00956EDA">
        <w:rPr>
          <w:rFonts w:eastAsia="Times New Roman" w:cstheme="minorHAnsi"/>
          <w:b/>
        </w:rPr>
        <w:t>Conceptual Framework</w:t>
      </w:r>
      <w:r w:rsidRPr="00956EDA">
        <w:rPr>
          <w:rFonts w:eastAsia="Times New Roman" w:cstheme="minorHAnsi"/>
          <w:b/>
        </w:rPr>
        <w:tab/>
      </w:r>
    </w:p>
    <w:p w14:paraId="2496DBFA" w14:textId="77777777" w:rsidR="00705830" w:rsidRPr="00956EDA" w:rsidRDefault="00705830" w:rsidP="00705830">
      <w:pPr>
        <w:pStyle w:val="Normal1"/>
        <w:spacing w:after="200"/>
        <w:rPr>
          <w:rFonts w:asciiTheme="minorHAnsi" w:hAnsiTheme="minorHAnsi" w:cstheme="minorHAnsi"/>
          <w:szCs w:val="22"/>
        </w:rPr>
      </w:pPr>
    </w:p>
    <w:p w14:paraId="4A81B9AC" w14:textId="77777777" w:rsidR="00730FDA" w:rsidRPr="00956EDA" w:rsidRDefault="00730FDA" w:rsidP="00730FDA">
      <w:pPr>
        <w:spacing w:before="100" w:beforeAutospacing="1"/>
        <w:rPr>
          <w:rFonts w:eastAsia="Times New Roman" w:cstheme="minorHAnsi"/>
        </w:rPr>
      </w:pPr>
      <w:r w:rsidRPr="00956EDA">
        <w:rPr>
          <w:rFonts w:eastAsia="Times New Roman" w:cstheme="minorHAnsi"/>
        </w:rPr>
        <w:t xml:space="preserve">UNCG is guided by the belief that our work must ensure </w:t>
      </w:r>
    </w:p>
    <w:p w14:paraId="6DBCC9A2" w14:textId="77777777" w:rsidR="00730FDA" w:rsidRPr="00956EDA" w:rsidRDefault="00730FDA" w:rsidP="00730FDA">
      <w:pPr>
        <w:spacing w:before="100" w:beforeAutospacing="1"/>
        <w:jc w:val="center"/>
        <w:rPr>
          <w:rFonts w:eastAsia="Times New Roman" w:cstheme="minorHAnsi"/>
          <w:b/>
        </w:rPr>
      </w:pPr>
      <w:r w:rsidRPr="00956EDA">
        <w:rPr>
          <w:rFonts w:eastAsia="Times New Roman" w:cstheme="minorHAnsi"/>
          <w:b/>
        </w:rPr>
        <w:t>Accessibility to Life’s Opportunities through Teaching, Learning and Caring</w:t>
      </w:r>
    </w:p>
    <w:p w14:paraId="7E9036FF" w14:textId="77777777" w:rsidR="00730FDA" w:rsidRPr="00956EDA" w:rsidRDefault="00730FDA" w:rsidP="00730FDA">
      <w:pPr>
        <w:rPr>
          <w:rFonts w:eastAsia="Times New Roman" w:cstheme="minorHAnsi"/>
        </w:rPr>
      </w:pPr>
      <w:r w:rsidRPr="00956EDA">
        <w:rPr>
          <w:rFonts w:eastAsia="Times New Roman" w:cstheme="minorHAnsi"/>
        </w:rPr>
        <w:t>To achieve this overarching goal, we focus on</w:t>
      </w:r>
    </w:p>
    <w:p w14:paraId="7D9ACB3F" w14:textId="77777777" w:rsidR="00730FDA" w:rsidRPr="00956EDA" w:rsidRDefault="00730FDA" w:rsidP="00730FDA">
      <w:pPr>
        <w:spacing w:after="0"/>
        <w:ind w:left="360"/>
        <w:jc w:val="center"/>
        <w:rPr>
          <w:rFonts w:eastAsia="Times New Roman" w:cstheme="minorHAnsi"/>
          <w:b/>
        </w:rPr>
      </w:pPr>
      <w:r w:rsidRPr="00956EDA">
        <w:rPr>
          <w:rFonts w:eastAsia="Times New Roman" w:cstheme="minorHAnsi"/>
          <w:b/>
        </w:rPr>
        <w:t>Leadership</w:t>
      </w:r>
    </w:p>
    <w:p w14:paraId="36741E68" w14:textId="77777777" w:rsidR="00730FDA" w:rsidRPr="00956EDA" w:rsidRDefault="00730FDA" w:rsidP="00730FDA">
      <w:pPr>
        <w:spacing w:after="0"/>
        <w:ind w:left="360"/>
        <w:jc w:val="center"/>
        <w:rPr>
          <w:rFonts w:eastAsia="Times New Roman" w:cstheme="minorHAnsi"/>
          <w:b/>
        </w:rPr>
      </w:pPr>
      <w:r w:rsidRPr="00956EDA">
        <w:rPr>
          <w:rFonts w:eastAsia="Times New Roman" w:cstheme="minorHAnsi"/>
          <w:b/>
        </w:rPr>
        <w:t>Professional Knowledge</w:t>
      </w:r>
    </w:p>
    <w:p w14:paraId="1FBF52A0" w14:textId="77777777" w:rsidR="00730FDA" w:rsidRPr="00956EDA" w:rsidRDefault="00730FDA" w:rsidP="00730FDA">
      <w:pPr>
        <w:spacing w:after="0"/>
        <w:ind w:left="360"/>
        <w:jc w:val="center"/>
        <w:rPr>
          <w:rFonts w:eastAsia="Times New Roman" w:cstheme="minorHAnsi"/>
          <w:b/>
        </w:rPr>
      </w:pPr>
      <w:r w:rsidRPr="00956EDA">
        <w:rPr>
          <w:rFonts w:eastAsia="Times New Roman" w:cstheme="minorHAnsi"/>
          <w:b/>
        </w:rPr>
        <w:t>Professional Practice</w:t>
      </w:r>
    </w:p>
    <w:p w14:paraId="09D18B9C" w14:textId="77777777" w:rsidR="00730FDA" w:rsidRPr="00956EDA" w:rsidRDefault="00107E33" w:rsidP="00730FDA">
      <w:pPr>
        <w:spacing w:after="0"/>
        <w:ind w:left="360"/>
        <w:jc w:val="center"/>
        <w:rPr>
          <w:rFonts w:eastAsia="Times New Roman" w:cstheme="minorHAnsi"/>
          <w:b/>
        </w:rPr>
      </w:pPr>
      <w:r w:rsidRPr="00956EDA">
        <w:rPr>
          <w:rFonts w:eastAsia="Times New Roman" w:cstheme="minorHAnsi"/>
          <w:b/>
        </w:rPr>
        <w:t>Educational Environment</w:t>
      </w:r>
    </w:p>
    <w:p w14:paraId="46E59E16" w14:textId="77777777" w:rsidR="00730FDA" w:rsidRPr="00956EDA" w:rsidRDefault="00107E33" w:rsidP="00730FDA">
      <w:pPr>
        <w:spacing w:after="0"/>
        <w:ind w:left="360"/>
        <w:jc w:val="center"/>
        <w:rPr>
          <w:rFonts w:eastAsia="Times New Roman" w:cstheme="minorHAnsi"/>
          <w:b/>
        </w:rPr>
      </w:pPr>
      <w:r w:rsidRPr="00956EDA">
        <w:rPr>
          <w:rFonts w:eastAsia="Times New Roman" w:cstheme="minorHAnsi"/>
          <w:b/>
        </w:rPr>
        <w:t>Data-driven Decision Making</w:t>
      </w:r>
    </w:p>
    <w:p w14:paraId="71EE9798" w14:textId="77777777" w:rsidR="00730FDA" w:rsidRPr="00956EDA" w:rsidRDefault="00730FDA" w:rsidP="00730FDA">
      <w:pPr>
        <w:spacing w:after="0"/>
        <w:ind w:left="360"/>
        <w:jc w:val="center"/>
        <w:rPr>
          <w:rFonts w:eastAsia="Times New Roman" w:cstheme="minorHAnsi"/>
          <w:b/>
        </w:rPr>
      </w:pPr>
      <w:r w:rsidRPr="00956EDA">
        <w:rPr>
          <w:rFonts w:eastAsia="Times New Roman" w:cstheme="minorHAnsi"/>
          <w:b/>
        </w:rPr>
        <w:t>Professional Growth</w:t>
      </w:r>
    </w:p>
    <w:p w14:paraId="693A87BF" w14:textId="77777777" w:rsidR="00730FDA" w:rsidRPr="00956EDA" w:rsidRDefault="00730FDA" w:rsidP="00705830">
      <w:pPr>
        <w:pStyle w:val="Normal1"/>
        <w:spacing w:after="200"/>
        <w:rPr>
          <w:rFonts w:asciiTheme="minorHAnsi" w:hAnsiTheme="minorHAnsi" w:cstheme="minorHAnsi"/>
          <w:b/>
          <w:szCs w:val="22"/>
        </w:rPr>
      </w:pPr>
    </w:p>
    <w:p w14:paraId="05768906" w14:textId="77777777" w:rsidR="00705830" w:rsidRPr="00956EDA" w:rsidRDefault="00705830" w:rsidP="00705830">
      <w:pPr>
        <w:pStyle w:val="Normal1"/>
        <w:spacing w:after="200"/>
        <w:rPr>
          <w:rFonts w:asciiTheme="minorHAnsi" w:hAnsiTheme="minorHAnsi" w:cstheme="minorHAnsi"/>
          <w:b/>
          <w:szCs w:val="22"/>
        </w:rPr>
      </w:pPr>
      <w:r w:rsidRPr="00956EDA">
        <w:rPr>
          <w:rFonts w:asciiTheme="minorHAnsi" w:hAnsiTheme="minorHAnsi" w:cstheme="minorHAnsi"/>
          <w:b/>
          <w:szCs w:val="22"/>
        </w:rPr>
        <w:t>Executive Summary</w:t>
      </w:r>
    </w:p>
    <w:p w14:paraId="7A61A969" w14:textId="48713624" w:rsidR="00531125" w:rsidRPr="00956EDA" w:rsidRDefault="005300F2" w:rsidP="00842BF2">
      <w:pPr>
        <w:pStyle w:val="Normal1"/>
        <w:spacing w:after="200"/>
        <w:rPr>
          <w:rFonts w:ascii="Calibri" w:eastAsia="Times New Roman" w:hAnsi="Calibri" w:cs="Calibri"/>
          <w:sz w:val="24"/>
        </w:rPr>
      </w:pPr>
      <w:r w:rsidRPr="00956EDA">
        <w:rPr>
          <w:rFonts w:asciiTheme="minorHAnsi" w:hAnsiTheme="minorHAnsi" w:cstheme="minorHAnsi"/>
          <w:szCs w:val="22"/>
        </w:rPr>
        <w:t>The mission of p</w:t>
      </w:r>
      <w:r w:rsidR="00705830" w:rsidRPr="00956EDA">
        <w:rPr>
          <w:rFonts w:asciiTheme="minorHAnsi" w:hAnsiTheme="minorHAnsi" w:cstheme="minorHAnsi"/>
          <w:szCs w:val="22"/>
        </w:rPr>
        <w:t xml:space="preserve">rofessional education at The University of North Carolina at Greensboro </w:t>
      </w:r>
      <w:r w:rsidRPr="00956EDA">
        <w:rPr>
          <w:rFonts w:asciiTheme="minorHAnsi" w:hAnsiTheme="minorHAnsi" w:cstheme="minorHAnsi"/>
          <w:szCs w:val="22"/>
        </w:rPr>
        <w:t>is to ensure</w:t>
      </w:r>
      <w:r w:rsidR="00705830" w:rsidRPr="00956EDA">
        <w:rPr>
          <w:rFonts w:asciiTheme="minorHAnsi" w:hAnsiTheme="minorHAnsi" w:cstheme="minorHAnsi"/>
          <w:szCs w:val="22"/>
        </w:rPr>
        <w:t xml:space="preserve"> “Access to Opportunities through Teaching, Learning and Caring.” </w:t>
      </w:r>
      <w:r w:rsidRPr="00956EDA">
        <w:rPr>
          <w:rFonts w:ascii="Calibri" w:eastAsia="Times New Roman" w:hAnsi="Calibri" w:cs="Calibri"/>
          <w:sz w:val="24"/>
        </w:rPr>
        <w:t xml:space="preserve">This requires excellence in all our programs through alignment to state and national standards; </w:t>
      </w:r>
      <w:r w:rsidR="00B160A2" w:rsidRPr="00956EDA">
        <w:rPr>
          <w:rFonts w:ascii="Calibri" w:eastAsia="Times New Roman" w:hAnsi="Calibri" w:cs="Calibri"/>
          <w:sz w:val="24"/>
        </w:rPr>
        <w:t xml:space="preserve">explicit connections between research, theory and practice; </w:t>
      </w:r>
      <w:r w:rsidRPr="00956EDA">
        <w:rPr>
          <w:rFonts w:ascii="Calibri" w:eastAsia="Times New Roman" w:hAnsi="Calibri" w:cs="Calibri"/>
          <w:sz w:val="24"/>
        </w:rPr>
        <w:t xml:space="preserve">candidates’ acquisition of the knowledge, skills and dispositions of their disciplines; detailed evaluation of our candidates’ continual professional growth; collaboration among stakeholders; ongoing self-study; and an overriding commitment to fostering beliefs and actions that promote education for all. Toward these ends, our Unit and programs </w:t>
      </w:r>
      <w:r w:rsidR="00705830" w:rsidRPr="00956EDA">
        <w:rPr>
          <w:rFonts w:asciiTheme="minorHAnsi" w:hAnsiTheme="minorHAnsi" w:cstheme="minorHAnsi"/>
          <w:szCs w:val="22"/>
        </w:rPr>
        <w:t xml:space="preserve">focus on six areas: leadership, professional knowledge, professional practice, </w:t>
      </w:r>
      <w:r w:rsidR="00DD3701" w:rsidRPr="00956EDA">
        <w:rPr>
          <w:rFonts w:asciiTheme="minorHAnsi" w:hAnsiTheme="minorHAnsi" w:cstheme="minorHAnsi"/>
          <w:szCs w:val="22"/>
        </w:rPr>
        <w:t>educational</w:t>
      </w:r>
      <w:r w:rsidR="00705830" w:rsidRPr="00956EDA">
        <w:rPr>
          <w:rFonts w:asciiTheme="minorHAnsi" w:hAnsiTheme="minorHAnsi" w:cstheme="minorHAnsi"/>
          <w:szCs w:val="22"/>
        </w:rPr>
        <w:t xml:space="preserve"> environments, data-informed decision m</w:t>
      </w:r>
      <w:r w:rsidRPr="00956EDA">
        <w:rPr>
          <w:rFonts w:asciiTheme="minorHAnsi" w:hAnsiTheme="minorHAnsi" w:cstheme="minorHAnsi"/>
          <w:szCs w:val="22"/>
        </w:rPr>
        <w:t xml:space="preserve">aking, and professional growth to support </w:t>
      </w:r>
      <w:r w:rsidR="00705830" w:rsidRPr="00956EDA">
        <w:rPr>
          <w:rFonts w:asciiTheme="minorHAnsi" w:eastAsia="Times New Roman" w:hAnsiTheme="minorHAnsi" w:cstheme="minorHAnsi"/>
          <w:szCs w:val="22"/>
        </w:rPr>
        <w:t>the learning of all children in the context of 21</w:t>
      </w:r>
      <w:r w:rsidR="00705830" w:rsidRPr="00956EDA">
        <w:rPr>
          <w:rFonts w:asciiTheme="minorHAnsi" w:eastAsia="Times New Roman" w:hAnsiTheme="minorHAnsi" w:cstheme="minorHAnsi"/>
          <w:szCs w:val="22"/>
          <w:vertAlign w:val="superscript"/>
        </w:rPr>
        <w:t>st</w:t>
      </w:r>
      <w:r w:rsidR="00705830" w:rsidRPr="00956EDA">
        <w:rPr>
          <w:rFonts w:asciiTheme="minorHAnsi" w:eastAsia="Times New Roman" w:hAnsiTheme="minorHAnsi" w:cstheme="minorHAnsi"/>
          <w:szCs w:val="22"/>
        </w:rPr>
        <w:t xml:space="preserve"> century </w:t>
      </w:r>
      <w:r w:rsidR="00C01F8C" w:rsidRPr="00956EDA">
        <w:rPr>
          <w:rFonts w:asciiTheme="minorHAnsi" w:eastAsia="Times New Roman" w:hAnsiTheme="minorHAnsi" w:cstheme="minorHAnsi"/>
          <w:szCs w:val="22"/>
        </w:rPr>
        <w:t>complexity and dynamic change</w:t>
      </w:r>
      <w:r w:rsidR="00B160A2" w:rsidRPr="00956EDA">
        <w:rPr>
          <w:rFonts w:asciiTheme="minorHAnsi" w:eastAsia="Times New Roman" w:hAnsiTheme="minorHAnsi" w:cstheme="minorHAnsi"/>
          <w:szCs w:val="22"/>
        </w:rPr>
        <w:t>.</w:t>
      </w:r>
    </w:p>
    <w:p w14:paraId="0FAD2DB7" w14:textId="77777777" w:rsidR="00531125" w:rsidRPr="00956EDA" w:rsidRDefault="00531125" w:rsidP="00697AEF">
      <w:pPr>
        <w:rPr>
          <w:rFonts w:eastAsia="Times New Roman" w:cstheme="minorHAnsi"/>
          <w:b/>
        </w:rPr>
      </w:pPr>
      <w:r w:rsidRPr="00956EDA">
        <w:rPr>
          <w:rFonts w:eastAsia="Times New Roman" w:cstheme="minorHAnsi"/>
          <w:b/>
        </w:rPr>
        <w:t>Introduction</w:t>
      </w:r>
    </w:p>
    <w:p w14:paraId="01BF6FAB" w14:textId="4391C42B" w:rsidR="00D13CFD" w:rsidRPr="00956EDA" w:rsidRDefault="002D3CD6" w:rsidP="00697AEF">
      <w:pPr>
        <w:rPr>
          <w:rFonts w:eastAsia="Times New Roman" w:cstheme="minorHAnsi"/>
        </w:rPr>
      </w:pPr>
      <w:r w:rsidRPr="00956EDA">
        <w:rPr>
          <w:rFonts w:eastAsia="Times New Roman" w:cstheme="minorHAnsi"/>
        </w:rPr>
        <w:t>At</w:t>
      </w:r>
      <w:r w:rsidR="000375AD" w:rsidRPr="00956EDA">
        <w:rPr>
          <w:rFonts w:eastAsia="Times New Roman" w:cstheme="minorHAnsi"/>
        </w:rPr>
        <w:t xml:space="preserve"> the University of North Carolina at Greensboro</w:t>
      </w:r>
      <w:r w:rsidRPr="00956EDA">
        <w:rPr>
          <w:rFonts w:eastAsia="Times New Roman" w:cstheme="minorHAnsi"/>
        </w:rPr>
        <w:t xml:space="preserve"> and across the nation</w:t>
      </w:r>
      <w:r w:rsidR="000375AD" w:rsidRPr="00956EDA">
        <w:rPr>
          <w:rFonts w:eastAsia="Times New Roman" w:cstheme="minorHAnsi"/>
        </w:rPr>
        <w:t xml:space="preserve">, </w:t>
      </w:r>
      <w:r w:rsidR="00792EFF" w:rsidRPr="00956EDA">
        <w:rPr>
          <w:rFonts w:eastAsia="Times New Roman" w:cstheme="minorHAnsi"/>
        </w:rPr>
        <w:t>professional education has</w:t>
      </w:r>
      <w:r w:rsidR="000375AD" w:rsidRPr="00956EDA">
        <w:rPr>
          <w:rFonts w:eastAsia="Times New Roman" w:cstheme="minorHAnsi"/>
        </w:rPr>
        <w:t xml:space="preserve"> evolved</w:t>
      </w:r>
      <w:r w:rsidR="008B0D6A" w:rsidRPr="00956EDA">
        <w:rPr>
          <w:rFonts w:eastAsia="Times New Roman" w:cstheme="minorHAnsi"/>
        </w:rPr>
        <w:t>. Our early preparation programs were</w:t>
      </w:r>
      <w:r w:rsidR="00C75E84" w:rsidRPr="00956EDA">
        <w:rPr>
          <w:rFonts w:eastAsia="Times New Roman" w:cstheme="minorHAnsi"/>
        </w:rPr>
        <w:t xml:space="preserve"> housed</w:t>
      </w:r>
      <w:r w:rsidR="008B0D6A" w:rsidRPr="00956EDA">
        <w:rPr>
          <w:rFonts w:eastAsia="Times New Roman" w:cstheme="minorHAnsi"/>
        </w:rPr>
        <w:t xml:space="preserve"> in</w:t>
      </w:r>
      <w:r w:rsidR="008359FA" w:rsidRPr="00956EDA">
        <w:rPr>
          <w:rFonts w:eastAsia="Times New Roman" w:cstheme="minorHAnsi"/>
        </w:rPr>
        <w:t xml:space="preserve"> </w:t>
      </w:r>
      <w:r w:rsidR="00792EFF" w:rsidRPr="00956EDA">
        <w:rPr>
          <w:rFonts w:eastAsia="Times New Roman" w:cstheme="minorHAnsi"/>
        </w:rPr>
        <w:t>a c</w:t>
      </w:r>
      <w:r w:rsidR="000375AD" w:rsidRPr="00956EDA">
        <w:rPr>
          <w:rFonts w:eastAsia="Times New Roman" w:cstheme="minorHAnsi"/>
        </w:rPr>
        <w:t>ampus-based</w:t>
      </w:r>
      <w:r w:rsidR="00792EFF" w:rsidRPr="00956EDA">
        <w:rPr>
          <w:rFonts w:eastAsia="Times New Roman" w:cstheme="minorHAnsi"/>
        </w:rPr>
        <w:t xml:space="preserve"> lab school </w:t>
      </w:r>
      <w:r w:rsidR="008B0D6A" w:rsidRPr="00956EDA">
        <w:rPr>
          <w:rFonts w:eastAsia="Times New Roman" w:cstheme="minorHAnsi"/>
        </w:rPr>
        <w:t>in which</w:t>
      </w:r>
      <w:r w:rsidR="00D13CFD" w:rsidRPr="00956EDA">
        <w:rPr>
          <w:rFonts w:eastAsia="Times New Roman" w:cstheme="minorHAnsi"/>
        </w:rPr>
        <w:t xml:space="preserve"> </w:t>
      </w:r>
      <w:r w:rsidR="008359FA" w:rsidRPr="00956EDA">
        <w:rPr>
          <w:rFonts w:eastAsia="Times New Roman" w:cstheme="minorHAnsi"/>
        </w:rPr>
        <w:t xml:space="preserve">faculty provided daily instruction </w:t>
      </w:r>
      <w:r w:rsidR="00811826" w:rsidRPr="00956EDA">
        <w:rPr>
          <w:rFonts w:eastAsia="Times New Roman" w:cstheme="minorHAnsi"/>
        </w:rPr>
        <w:t xml:space="preserve">in pedagogical </w:t>
      </w:r>
      <w:r w:rsidR="00792EFF" w:rsidRPr="00956EDA">
        <w:rPr>
          <w:rFonts w:eastAsia="Times New Roman" w:cstheme="minorHAnsi"/>
        </w:rPr>
        <w:t>methods as prospective teachers</w:t>
      </w:r>
      <w:r w:rsidR="00811826" w:rsidRPr="00956EDA">
        <w:rPr>
          <w:rFonts w:eastAsia="Times New Roman" w:cstheme="minorHAnsi"/>
        </w:rPr>
        <w:t xml:space="preserve"> participated in e</w:t>
      </w:r>
      <w:r w:rsidR="008359FA" w:rsidRPr="00956EDA">
        <w:rPr>
          <w:rFonts w:eastAsia="Times New Roman" w:cstheme="minorHAnsi"/>
        </w:rPr>
        <w:t>xtensive internships</w:t>
      </w:r>
      <w:r w:rsidR="00792EFF" w:rsidRPr="00956EDA">
        <w:rPr>
          <w:rFonts w:eastAsia="Times New Roman" w:cstheme="minorHAnsi"/>
        </w:rPr>
        <w:t>. In the mid-20</w:t>
      </w:r>
      <w:r w:rsidR="00792EFF" w:rsidRPr="00956EDA">
        <w:rPr>
          <w:rFonts w:eastAsia="Times New Roman" w:cstheme="minorHAnsi"/>
          <w:vertAlign w:val="superscript"/>
        </w:rPr>
        <w:t>th</w:t>
      </w:r>
      <w:r w:rsidR="00792EFF" w:rsidRPr="00956EDA">
        <w:rPr>
          <w:rFonts w:eastAsia="Times New Roman" w:cstheme="minorHAnsi"/>
        </w:rPr>
        <w:t xml:space="preserve"> century</w:t>
      </w:r>
      <w:r w:rsidR="008B0D6A" w:rsidRPr="00956EDA">
        <w:rPr>
          <w:rFonts w:eastAsia="Times New Roman" w:cstheme="minorHAnsi"/>
        </w:rPr>
        <w:t xml:space="preserve">, we moved to </w:t>
      </w:r>
      <w:r w:rsidR="000375AD" w:rsidRPr="00956EDA">
        <w:rPr>
          <w:rFonts w:eastAsia="Times New Roman" w:cstheme="minorHAnsi"/>
        </w:rPr>
        <w:t xml:space="preserve">partnerships in which university faculty, public school </w:t>
      </w:r>
      <w:r w:rsidR="000D5389" w:rsidRPr="00956EDA">
        <w:rPr>
          <w:rFonts w:eastAsia="Times New Roman" w:cstheme="minorHAnsi"/>
        </w:rPr>
        <w:t>professionals</w:t>
      </w:r>
      <w:r w:rsidR="000375AD" w:rsidRPr="00956EDA">
        <w:rPr>
          <w:rFonts w:eastAsia="Times New Roman" w:cstheme="minorHAnsi"/>
        </w:rPr>
        <w:t xml:space="preserve"> and other stakeholders collaboratively prepare</w:t>
      </w:r>
      <w:r w:rsidR="00792EFF" w:rsidRPr="00956EDA">
        <w:rPr>
          <w:rFonts w:eastAsia="Times New Roman" w:cstheme="minorHAnsi"/>
        </w:rPr>
        <w:t>d</w:t>
      </w:r>
      <w:r w:rsidR="000375AD" w:rsidRPr="00956EDA">
        <w:rPr>
          <w:rFonts w:eastAsia="Times New Roman" w:cstheme="minorHAnsi"/>
        </w:rPr>
        <w:t xml:space="preserve"> our candidates in the content, pedagogy and practica of their disciplines. </w:t>
      </w:r>
      <w:r w:rsidR="00792EFF" w:rsidRPr="00956EDA">
        <w:rPr>
          <w:rFonts w:eastAsia="Times New Roman" w:cstheme="minorHAnsi"/>
        </w:rPr>
        <w:t>Today</w:t>
      </w:r>
      <w:r w:rsidR="00842F28" w:rsidRPr="00956EDA">
        <w:rPr>
          <w:rFonts w:eastAsia="Times New Roman" w:cstheme="minorHAnsi"/>
        </w:rPr>
        <w:t>, our</w:t>
      </w:r>
      <w:r w:rsidR="008359FA" w:rsidRPr="00956EDA">
        <w:rPr>
          <w:rFonts w:eastAsia="Times New Roman" w:cstheme="minorHAnsi"/>
        </w:rPr>
        <w:t xml:space="preserve"> emphasis on providing quality methods instruction </w:t>
      </w:r>
      <w:r w:rsidR="00D13CFD" w:rsidRPr="00956EDA">
        <w:rPr>
          <w:rFonts w:eastAsia="Times New Roman" w:cstheme="minorHAnsi"/>
        </w:rPr>
        <w:t>and</w:t>
      </w:r>
      <w:r w:rsidR="00792EFF" w:rsidRPr="00956EDA">
        <w:rPr>
          <w:rFonts w:eastAsia="Times New Roman" w:cstheme="minorHAnsi"/>
        </w:rPr>
        <w:t xml:space="preserve"> extended internships continue</w:t>
      </w:r>
      <w:r w:rsidR="00F0649B" w:rsidRPr="00956EDA">
        <w:rPr>
          <w:rFonts w:eastAsia="Times New Roman" w:cstheme="minorHAnsi"/>
        </w:rPr>
        <w:t>s</w:t>
      </w:r>
      <w:r w:rsidR="008359FA" w:rsidRPr="00956EDA">
        <w:rPr>
          <w:rFonts w:eastAsia="Times New Roman" w:cstheme="minorHAnsi"/>
        </w:rPr>
        <w:t xml:space="preserve"> </w:t>
      </w:r>
      <w:r w:rsidR="007F41C6" w:rsidRPr="00956EDA">
        <w:rPr>
          <w:rFonts w:eastAsia="Times New Roman" w:cstheme="minorHAnsi"/>
        </w:rPr>
        <w:t xml:space="preserve">at </w:t>
      </w:r>
      <w:r w:rsidR="00792EFF" w:rsidRPr="00956EDA">
        <w:rPr>
          <w:rFonts w:eastAsia="Times New Roman" w:cstheme="minorHAnsi"/>
        </w:rPr>
        <w:t xml:space="preserve">the same time that we recognize </w:t>
      </w:r>
      <w:r w:rsidR="007F41C6" w:rsidRPr="00956EDA">
        <w:rPr>
          <w:rFonts w:eastAsia="Times New Roman" w:cstheme="minorHAnsi"/>
        </w:rPr>
        <w:t>that the development of professional excellence involves rich, multi-faceted experiences within the public school and deep understandings of the realities of 21</w:t>
      </w:r>
      <w:r w:rsidR="007F41C6" w:rsidRPr="00956EDA">
        <w:rPr>
          <w:rFonts w:eastAsia="Times New Roman" w:cstheme="minorHAnsi"/>
          <w:vertAlign w:val="superscript"/>
        </w:rPr>
        <w:t>st</w:t>
      </w:r>
      <w:r w:rsidR="007F41C6" w:rsidRPr="00956EDA">
        <w:rPr>
          <w:rFonts w:eastAsia="Times New Roman" w:cstheme="minorHAnsi"/>
        </w:rPr>
        <w:t xml:space="preserve"> century educational </w:t>
      </w:r>
      <w:r w:rsidRPr="00956EDA">
        <w:rPr>
          <w:rFonts w:eastAsia="Times New Roman" w:cstheme="minorHAnsi"/>
        </w:rPr>
        <w:t>expectations</w:t>
      </w:r>
      <w:r w:rsidR="007F41C6" w:rsidRPr="00956EDA">
        <w:rPr>
          <w:rFonts w:eastAsia="Times New Roman" w:cstheme="minorHAnsi"/>
        </w:rPr>
        <w:t xml:space="preserve"> to prepare </w:t>
      </w:r>
      <w:r w:rsidR="00792EFF" w:rsidRPr="00956EDA">
        <w:rPr>
          <w:rFonts w:eastAsia="Times New Roman" w:cstheme="minorHAnsi"/>
        </w:rPr>
        <w:t xml:space="preserve">all </w:t>
      </w:r>
      <w:r w:rsidR="007F41C6" w:rsidRPr="00956EDA">
        <w:rPr>
          <w:rFonts w:eastAsia="Times New Roman" w:cstheme="minorHAnsi"/>
        </w:rPr>
        <w:t>students for college, career and life.</w:t>
      </w:r>
      <w:r w:rsidR="008359FA" w:rsidRPr="00956EDA">
        <w:rPr>
          <w:rFonts w:eastAsia="Times New Roman" w:cstheme="minorHAnsi"/>
        </w:rPr>
        <w:t xml:space="preserve"> </w:t>
      </w:r>
    </w:p>
    <w:p w14:paraId="282BB0B7" w14:textId="3F6E7DEB" w:rsidR="008359FA" w:rsidRPr="00956EDA" w:rsidRDefault="002D3CD6" w:rsidP="00697AEF">
      <w:pPr>
        <w:rPr>
          <w:rFonts w:eastAsia="Times New Roman" w:cstheme="minorHAnsi"/>
        </w:rPr>
      </w:pPr>
      <w:r w:rsidRPr="00956EDA">
        <w:rPr>
          <w:rFonts w:eastAsia="Times New Roman" w:cstheme="minorHAnsi"/>
        </w:rPr>
        <w:lastRenderedPageBreak/>
        <w:t>Our</w:t>
      </w:r>
      <w:r w:rsidR="008B0D6A" w:rsidRPr="00956EDA">
        <w:rPr>
          <w:rFonts w:eastAsia="Times New Roman" w:cstheme="minorHAnsi"/>
        </w:rPr>
        <w:t xml:space="preserve"> programs </w:t>
      </w:r>
      <w:r w:rsidRPr="00956EDA">
        <w:rPr>
          <w:rFonts w:eastAsia="Times New Roman" w:cstheme="minorHAnsi"/>
        </w:rPr>
        <w:t xml:space="preserve">have </w:t>
      </w:r>
      <w:r w:rsidR="00C75E84" w:rsidRPr="00956EDA">
        <w:rPr>
          <w:rFonts w:eastAsia="Times New Roman" w:cstheme="minorHAnsi"/>
        </w:rPr>
        <w:t>evolved</w:t>
      </w:r>
      <w:r w:rsidR="000375AD" w:rsidRPr="00956EDA">
        <w:rPr>
          <w:rFonts w:eastAsia="Times New Roman" w:cstheme="minorHAnsi"/>
        </w:rPr>
        <w:t xml:space="preserve"> from preparing </w:t>
      </w:r>
      <w:r w:rsidR="007F41C6" w:rsidRPr="00956EDA">
        <w:rPr>
          <w:rFonts w:eastAsia="Times New Roman" w:cstheme="minorHAnsi"/>
        </w:rPr>
        <w:t xml:space="preserve">only </w:t>
      </w:r>
      <w:r w:rsidR="000375AD" w:rsidRPr="00956EDA">
        <w:rPr>
          <w:rFonts w:eastAsia="Times New Roman" w:cstheme="minorHAnsi"/>
        </w:rPr>
        <w:t>new</w:t>
      </w:r>
      <w:r w:rsidR="007F41C6" w:rsidRPr="00956EDA">
        <w:rPr>
          <w:rFonts w:eastAsia="Times New Roman" w:cstheme="minorHAnsi"/>
        </w:rPr>
        <w:t xml:space="preserve"> </w:t>
      </w:r>
      <w:r w:rsidR="000375AD" w:rsidRPr="00956EDA">
        <w:rPr>
          <w:rFonts w:eastAsia="Times New Roman" w:cstheme="minorHAnsi"/>
        </w:rPr>
        <w:t>teachers</w:t>
      </w:r>
      <w:r w:rsidR="007F41C6" w:rsidRPr="00956EDA">
        <w:rPr>
          <w:rFonts w:eastAsia="Times New Roman" w:cstheme="minorHAnsi"/>
        </w:rPr>
        <w:t xml:space="preserve"> at the undergraduate level</w:t>
      </w:r>
      <w:r w:rsidR="000375AD" w:rsidRPr="00956EDA">
        <w:rPr>
          <w:rFonts w:eastAsia="Times New Roman" w:cstheme="minorHAnsi"/>
        </w:rPr>
        <w:t xml:space="preserve"> to </w:t>
      </w:r>
      <w:r w:rsidR="008359FA" w:rsidRPr="00956EDA">
        <w:rPr>
          <w:rFonts w:eastAsia="Times New Roman" w:cstheme="minorHAnsi"/>
        </w:rPr>
        <w:t>graduate educati</w:t>
      </w:r>
      <w:r w:rsidR="007F41C6" w:rsidRPr="00956EDA">
        <w:rPr>
          <w:rFonts w:eastAsia="Times New Roman" w:cstheme="minorHAnsi"/>
        </w:rPr>
        <w:t xml:space="preserve">on programs that include career changers moving into the classroom, </w:t>
      </w:r>
      <w:r w:rsidR="008359FA" w:rsidRPr="00956EDA">
        <w:rPr>
          <w:rFonts w:eastAsia="Times New Roman" w:cstheme="minorHAnsi"/>
        </w:rPr>
        <w:t xml:space="preserve">experienced teachers at every </w:t>
      </w:r>
      <w:r w:rsidR="007F41C6" w:rsidRPr="00956EDA">
        <w:rPr>
          <w:rFonts w:eastAsia="Times New Roman" w:cstheme="minorHAnsi"/>
        </w:rPr>
        <w:t xml:space="preserve">grade </w:t>
      </w:r>
      <w:r w:rsidR="008359FA" w:rsidRPr="00956EDA">
        <w:rPr>
          <w:rFonts w:eastAsia="Times New Roman" w:cstheme="minorHAnsi"/>
        </w:rPr>
        <w:t>leve</w:t>
      </w:r>
      <w:r w:rsidR="008B0D6A" w:rsidRPr="00956EDA">
        <w:rPr>
          <w:rFonts w:eastAsia="Times New Roman" w:cstheme="minorHAnsi"/>
        </w:rPr>
        <w:t>l</w:t>
      </w:r>
      <w:r w:rsidR="008359FA" w:rsidRPr="00956EDA">
        <w:rPr>
          <w:rFonts w:eastAsia="Times New Roman" w:cstheme="minorHAnsi"/>
        </w:rPr>
        <w:t xml:space="preserve"> and </w:t>
      </w:r>
      <w:r w:rsidR="008B0D6A" w:rsidRPr="00956EDA">
        <w:rPr>
          <w:rFonts w:eastAsia="Times New Roman" w:cstheme="minorHAnsi"/>
        </w:rPr>
        <w:t xml:space="preserve">many </w:t>
      </w:r>
      <w:r w:rsidR="008359FA" w:rsidRPr="00956EDA">
        <w:rPr>
          <w:rFonts w:eastAsia="Times New Roman" w:cstheme="minorHAnsi"/>
        </w:rPr>
        <w:t>content area</w:t>
      </w:r>
      <w:r w:rsidR="007F41C6" w:rsidRPr="00956EDA">
        <w:rPr>
          <w:rFonts w:eastAsia="Times New Roman" w:cstheme="minorHAnsi"/>
        </w:rPr>
        <w:t>s,</w:t>
      </w:r>
      <w:r w:rsidR="008B0D6A" w:rsidRPr="00956EDA">
        <w:rPr>
          <w:rFonts w:eastAsia="Times New Roman" w:cstheme="minorHAnsi"/>
        </w:rPr>
        <w:t xml:space="preserve"> administrators,</w:t>
      </w:r>
      <w:r w:rsidR="008359FA" w:rsidRPr="00956EDA">
        <w:rPr>
          <w:rFonts w:eastAsia="Times New Roman" w:cstheme="minorHAnsi"/>
        </w:rPr>
        <w:t xml:space="preserve"> </w:t>
      </w:r>
      <w:r w:rsidR="007F41C6" w:rsidRPr="00956EDA">
        <w:rPr>
          <w:rFonts w:eastAsia="Times New Roman" w:cstheme="minorHAnsi"/>
        </w:rPr>
        <w:t xml:space="preserve">media coordinators, social workers, </w:t>
      </w:r>
      <w:r w:rsidR="001C5C9E" w:rsidRPr="00956EDA">
        <w:rPr>
          <w:rFonts w:eastAsia="Times New Roman" w:cstheme="minorHAnsi"/>
        </w:rPr>
        <w:t xml:space="preserve">and </w:t>
      </w:r>
      <w:r w:rsidR="00E20AB0" w:rsidRPr="00956EDA">
        <w:rPr>
          <w:rFonts w:eastAsia="Times New Roman" w:cstheme="minorHAnsi"/>
        </w:rPr>
        <w:t xml:space="preserve">school </w:t>
      </w:r>
      <w:r w:rsidR="001C5C9E" w:rsidRPr="00956EDA">
        <w:rPr>
          <w:rFonts w:eastAsia="Times New Roman" w:cstheme="minorHAnsi"/>
        </w:rPr>
        <w:t>counselors.</w:t>
      </w:r>
      <w:r w:rsidR="008359FA" w:rsidRPr="00956EDA">
        <w:rPr>
          <w:rFonts w:eastAsia="Times New Roman" w:cstheme="minorHAnsi"/>
        </w:rPr>
        <w:t xml:space="preserve"> </w:t>
      </w:r>
      <w:r w:rsidR="001C5C9E" w:rsidRPr="00956EDA">
        <w:rPr>
          <w:rFonts w:eastAsia="Times New Roman" w:cstheme="minorHAnsi"/>
        </w:rPr>
        <w:t>F</w:t>
      </w:r>
      <w:r w:rsidR="008359FA" w:rsidRPr="00956EDA">
        <w:rPr>
          <w:rFonts w:eastAsia="Times New Roman" w:cstheme="minorHAnsi"/>
        </w:rPr>
        <w:t xml:space="preserve">aculty </w:t>
      </w:r>
      <w:r w:rsidR="009F3110" w:rsidRPr="00956EDA">
        <w:rPr>
          <w:rFonts w:eastAsia="Times New Roman" w:cstheme="minorHAnsi"/>
        </w:rPr>
        <w:t xml:space="preserve">members </w:t>
      </w:r>
      <w:r w:rsidR="008B0D6A" w:rsidRPr="00956EDA">
        <w:rPr>
          <w:rFonts w:eastAsia="Times New Roman" w:cstheme="minorHAnsi"/>
        </w:rPr>
        <w:t>have</w:t>
      </w:r>
      <w:r w:rsidR="007F41C6" w:rsidRPr="00956EDA">
        <w:rPr>
          <w:rFonts w:eastAsia="Times New Roman" w:cstheme="minorHAnsi"/>
        </w:rPr>
        <w:t xml:space="preserve"> </w:t>
      </w:r>
      <w:r w:rsidR="008359FA" w:rsidRPr="00956EDA">
        <w:rPr>
          <w:rFonts w:eastAsia="Times New Roman" w:cstheme="minorHAnsi"/>
        </w:rPr>
        <w:t xml:space="preserve">increasingly relied </w:t>
      </w:r>
      <w:r w:rsidR="007F41C6" w:rsidRPr="00956EDA">
        <w:rPr>
          <w:rFonts w:eastAsia="Times New Roman" w:cstheme="minorHAnsi"/>
        </w:rPr>
        <w:t xml:space="preserve">on </w:t>
      </w:r>
      <w:r w:rsidR="008359FA" w:rsidRPr="00956EDA">
        <w:rPr>
          <w:rFonts w:eastAsia="Times New Roman" w:cstheme="minorHAnsi"/>
        </w:rPr>
        <w:t xml:space="preserve">research to improve our understanding of quality teaching. </w:t>
      </w:r>
      <w:r w:rsidR="007F41C6" w:rsidRPr="00956EDA">
        <w:rPr>
          <w:rFonts w:eastAsia="Times New Roman" w:cstheme="minorHAnsi"/>
        </w:rPr>
        <w:t>We recognize that there is a growing knowledge base</w:t>
      </w:r>
      <w:r w:rsidR="001258A4" w:rsidRPr="00956EDA">
        <w:rPr>
          <w:rFonts w:eastAsia="Times New Roman" w:cstheme="minorHAnsi"/>
        </w:rPr>
        <w:t xml:space="preserve"> </w:t>
      </w:r>
      <w:r w:rsidR="007F41C6" w:rsidRPr="00956EDA">
        <w:rPr>
          <w:rFonts w:eastAsia="Times New Roman" w:cstheme="minorHAnsi"/>
        </w:rPr>
        <w:t xml:space="preserve">that </w:t>
      </w:r>
      <w:r w:rsidR="008B0D6A" w:rsidRPr="00956EDA">
        <w:rPr>
          <w:rFonts w:eastAsia="Times New Roman" w:cstheme="minorHAnsi"/>
        </w:rPr>
        <w:t>should</w:t>
      </w:r>
      <w:r w:rsidR="007F41C6" w:rsidRPr="00956EDA">
        <w:rPr>
          <w:rFonts w:eastAsia="Times New Roman" w:cstheme="minorHAnsi"/>
        </w:rPr>
        <w:t xml:space="preserve"> guide professional preparation programs and practice, and we both use that knowledge base in our coursework and practica, and we contribute to </w:t>
      </w:r>
      <w:r w:rsidR="00C01F8C" w:rsidRPr="00956EDA">
        <w:rPr>
          <w:rFonts w:eastAsia="Times New Roman" w:cstheme="minorHAnsi"/>
        </w:rPr>
        <w:t>it</w:t>
      </w:r>
      <w:r w:rsidR="007F41C6" w:rsidRPr="00956EDA">
        <w:rPr>
          <w:rFonts w:eastAsia="Times New Roman" w:cstheme="minorHAnsi"/>
        </w:rPr>
        <w:t xml:space="preserve"> through thoughtful, targeted </w:t>
      </w:r>
      <w:r w:rsidR="008B0D6A" w:rsidRPr="00956EDA">
        <w:rPr>
          <w:rFonts w:eastAsia="Times New Roman" w:cstheme="minorHAnsi"/>
        </w:rPr>
        <w:t xml:space="preserve">and collaborative </w:t>
      </w:r>
      <w:r w:rsidR="007F41C6" w:rsidRPr="00956EDA">
        <w:rPr>
          <w:rFonts w:eastAsia="Times New Roman" w:cstheme="minorHAnsi"/>
        </w:rPr>
        <w:t xml:space="preserve">research activities. </w:t>
      </w:r>
      <w:r w:rsidR="008359FA" w:rsidRPr="00956EDA">
        <w:rPr>
          <w:rFonts w:eastAsia="Times New Roman" w:cstheme="minorHAnsi"/>
        </w:rPr>
        <w:t xml:space="preserve">As we seek to build new foundations on existing traditions, we </w:t>
      </w:r>
      <w:r w:rsidR="008B0D6A" w:rsidRPr="00956EDA">
        <w:rPr>
          <w:rFonts w:eastAsia="Times New Roman" w:cstheme="minorHAnsi"/>
        </w:rPr>
        <w:t xml:space="preserve">have </w:t>
      </w:r>
      <w:r w:rsidR="008359FA" w:rsidRPr="00956EDA">
        <w:rPr>
          <w:rFonts w:eastAsia="Times New Roman" w:cstheme="minorHAnsi"/>
        </w:rPr>
        <w:t xml:space="preserve">never lost sight of the need to prepare educators for the multiple and changing demands of our society and to ensure that they have the knowledge, skills and dispositions to support the learning of all students.  </w:t>
      </w:r>
    </w:p>
    <w:p w14:paraId="2F271BCC" w14:textId="2A66ED74" w:rsidR="00130FBB" w:rsidRPr="00956EDA" w:rsidRDefault="00792EFF" w:rsidP="00697AEF">
      <w:pPr>
        <w:spacing w:before="100" w:beforeAutospacing="1"/>
        <w:rPr>
          <w:rFonts w:eastAsia="Times New Roman" w:cstheme="minorHAnsi"/>
        </w:rPr>
      </w:pPr>
      <w:r w:rsidRPr="00956EDA">
        <w:rPr>
          <w:rFonts w:eastAsia="Times New Roman" w:cstheme="minorHAnsi"/>
        </w:rPr>
        <w:t>We</w:t>
      </w:r>
      <w:r w:rsidR="002B4549" w:rsidRPr="00956EDA">
        <w:rPr>
          <w:rFonts w:eastAsia="Times New Roman" w:cstheme="minorHAnsi"/>
        </w:rPr>
        <w:t xml:space="preserve"> </w:t>
      </w:r>
      <w:r w:rsidR="008359FA" w:rsidRPr="00956EDA">
        <w:rPr>
          <w:rFonts w:eastAsia="Times New Roman" w:cstheme="minorHAnsi"/>
        </w:rPr>
        <w:t xml:space="preserve">face </w:t>
      </w:r>
      <w:r w:rsidR="002B4549" w:rsidRPr="00956EDA">
        <w:rPr>
          <w:rFonts w:eastAsia="Times New Roman" w:cstheme="minorHAnsi"/>
        </w:rPr>
        <w:t>important challenges in preparing</w:t>
      </w:r>
      <w:r w:rsidR="008359FA" w:rsidRPr="00956EDA">
        <w:rPr>
          <w:rFonts w:eastAsia="Times New Roman" w:cstheme="minorHAnsi"/>
        </w:rPr>
        <w:t xml:space="preserve"> </w:t>
      </w:r>
      <w:r w:rsidR="001C5C9E" w:rsidRPr="00956EDA">
        <w:rPr>
          <w:rFonts w:eastAsia="Times New Roman" w:cstheme="minorHAnsi"/>
        </w:rPr>
        <w:t>undergraduate and graduate candidates</w:t>
      </w:r>
      <w:r w:rsidR="008359FA" w:rsidRPr="00956EDA">
        <w:rPr>
          <w:rFonts w:eastAsia="Times New Roman" w:cstheme="minorHAnsi"/>
        </w:rPr>
        <w:t xml:space="preserve"> for </w:t>
      </w:r>
      <w:r w:rsidR="001C5C9E" w:rsidRPr="00956EDA">
        <w:rPr>
          <w:rFonts w:eastAsia="Times New Roman" w:cstheme="minorHAnsi"/>
        </w:rPr>
        <w:t>21</w:t>
      </w:r>
      <w:r w:rsidR="001C5C9E" w:rsidRPr="00956EDA">
        <w:rPr>
          <w:rFonts w:eastAsia="Times New Roman" w:cstheme="minorHAnsi"/>
          <w:vertAlign w:val="superscript"/>
        </w:rPr>
        <w:t>st</w:t>
      </w:r>
      <w:r w:rsidR="008359FA" w:rsidRPr="00956EDA">
        <w:rPr>
          <w:rFonts w:eastAsia="Times New Roman" w:cstheme="minorHAnsi"/>
        </w:rPr>
        <w:t xml:space="preserve"> centur</w:t>
      </w:r>
      <w:r w:rsidR="00855917" w:rsidRPr="00956EDA">
        <w:rPr>
          <w:rFonts w:eastAsia="Times New Roman" w:cstheme="minorHAnsi"/>
        </w:rPr>
        <w:t>y expectations</w:t>
      </w:r>
      <w:r w:rsidR="00DD3701" w:rsidRPr="00956EDA">
        <w:rPr>
          <w:rFonts w:eastAsia="Times New Roman" w:cstheme="minorHAnsi"/>
        </w:rPr>
        <w:t>.</w:t>
      </w:r>
      <w:r w:rsidR="00842F28" w:rsidRPr="00956EDA">
        <w:rPr>
          <w:rFonts w:eastAsia="Times New Roman" w:cstheme="minorHAnsi"/>
        </w:rPr>
        <w:t xml:space="preserve"> </w:t>
      </w:r>
      <w:r w:rsidR="00855917" w:rsidRPr="00956EDA">
        <w:rPr>
          <w:rFonts w:eastAsia="Times New Roman" w:cstheme="minorHAnsi"/>
        </w:rPr>
        <w:t xml:space="preserve">To meet these challenges, </w:t>
      </w:r>
      <w:r w:rsidR="001C5C9E" w:rsidRPr="00956EDA">
        <w:rPr>
          <w:rFonts w:eastAsia="Times New Roman" w:cstheme="minorHAnsi"/>
        </w:rPr>
        <w:t>our candidates</w:t>
      </w:r>
      <w:r w:rsidR="008359FA" w:rsidRPr="00956EDA">
        <w:rPr>
          <w:rFonts w:eastAsia="Times New Roman" w:cstheme="minorHAnsi"/>
        </w:rPr>
        <w:t xml:space="preserve"> </w:t>
      </w:r>
      <w:r w:rsidR="00855917" w:rsidRPr="00956EDA">
        <w:rPr>
          <w:rFonts w:eastAsia="Times New Roman" w:cstheme="minorHAnsi"/>
        </w:rPr>
        <w:t>must be committed to equ</w:t>
      </w:r>
      <w:r w:rsidR="00613E4E" w:rsidRPr="00956EDA">
        <w:rPr>
          <w:rFonts w:eastAsia="Times New Roman" w:cstheme="minorHAnsi"/>
        </w:rPr>
        <w:t>itable, inclusive practice that values</w:t>
      </w:r>
      <w:r w:rsidR="00855917" w:rsidRPr="00956EDA">
        <w:rPr>
          <w:rFonts w:eastAsia="Times New Roman" w:cstheme="minorHAnsi"/>
        </w:rPr>
        <w:t xml:space="preserve"> the diversity among students. They must </w:t>
      </w:r>
      <w:r w:rsidR="008359FA" w:rsidRPr="00956EDA">
        <w:rPr>
          <w:rFonts w:eastAsia="Times New Roman" w:cstheme="minorHAnsi"/>
        </w:rPr>
        <w:t>develop</w:t>
      </w:r>
      <w:r w:rsidR="00855917" w:rsidRPr="00956EDA">
        <w:rPr>
          <w:rFonts w:eastAsia="Times New Roman" w:cstheme="minorHAnsi"/>
        </w:rPr>
        <w:t xml:space="preserve"> l</w:t>
      </w:r>
      <w:r w:rsidR="008359FA" w:rsidRPr="00956EDA">
        <w:rPr>
          <w:rFonts w:eastAsia="Times New Roman" w:cstheme="minorHAnsi"/>
        </w:rPr>
        <w:t xml:space="preserve">eadership </w:t>
      </w:r>
      <w:r w:rsidR="00855917" w:rsidRPr="00956EDA">
        <w:rPr>
          <w:rFonts w:eastAsia="Times New Roman" w:cstheme="minorHAnsi"/>
        </w:rPr>
        <w:t xml:space="preserve">skills </w:t>
      </w:r>
      <w:r w:rsidR="008359FA" w:rsidRPr="00956EDA">
        <w:rPr>
          <w:rFonts w:eastAsia="Times New Roman" w:cstheme="minorHAnsi"/>
        </w:rPr>
        <w:t>to advocate for students</w:t>
      </w:r>
      <w:r w:rsidR="00FA6185" w:rsidRPr="00956EDA">
        <w:rPr>
          <w:rFonts w:eastAsia="Times New Roman" w:cstheme="minorHAnsi"/>
        </w:rPr>
        <w:t xml:space="preserve"> and schools</w:t>
      </w:r>
      <w:r w:rsidR="008359FA" w:rsidRPr="00956EDA">
        <w:rPr>
          <w:rFonts w:eastAsia="Times New Roman" w:cstheme="minorHAnsi"/>
        </w:rPr>
        <w:t xml:space="preserve">. </w:t>
      </w:r>
      <w:r w:rsidR="00547ABE" w:rsidRPr="00956EDA">
        <w:rPr>
          <w:rFonts w:eastAsia="Times New Roman" w:cstheme="minorHAnsi"/>
        </w:rPr>
        <w:t>To be responsive to the needs of all students, t</w:t>
      </w:r>
      <w:r w:rsidR="008359FA" w:rsidRPr="00956EDA">
        <w:rPr>
          <w:rFonts w:eastAsia="Times New Roman" w:cstheme="minorHAnsi"/>
        </w:rPr>
        <w:t xml:space="preserve">hey must be deeply grounded in the knowledge base of their disciplines and skilled in translating that knowledge into practice that meets State and national standards. </w:t>
      </w:r>
      <w:r w:rsidR="00855917" w:rsidRPr="00956EDA">
        <w:rPr>
          <w:rFonts w:eastAsia="Times New Roman" w:cstheme="minorHAnsi"/>
        </w:rPr>
        <w:t xml:space="preserve">They must </w:t>
      </w:r>
      <w:r w:rsidR="008D099E" w:rsidRPr="00956EDA">
        <w:rPr>
          <w:rFonts w:eastAsia="Times New Roman" w:cstheme="minorHAnsi"/>
        </w:rPr>
        <w:t xml:space="preserve">be </w:t>
      </w:r>
      <w:r w:rsidR="00855917" w:rsidRPr="00956EDA">
        <w:rPr>
          <w:rFonts w:eastAsia="Times New Roman" w:cstheme="minorHAnsi"/>
        </w:rPr>
        <w:t>skilled in collecting a</w:t>
      </w:r>
      <w:r w:rsidR="000D5389" w:rsidRPr="00956EDA">
        <w:rPr>
          <w:rFonts w:eastAsia="Times New Roman" w:cstheme="minorHAnsi"/>
        </w:rPr>
        <w:t xml:space="preserve">nd analyzing student outcome data </w:t>
      </w:r>
      <w:r w:rsidR="00855917" w:rsidRPr="00956EDA">
        <w:rPr>
          <w:rFonts w:eastAsia="Times New Roman" w:cstheme="minorHAnsi"/>
        </w:rPr>
        <w:t xml:space="preserve">and in using that data to inform their </w:t>
      </w:r>
      <w:r w:rsidR="00150F4A" w:rsidRPr="00956EDA">
        <w:rPr>
          <w:rFonts w:eastAsia="Times New Roman" w:cstheme="minorHAnsi"/>
        </w:rPr>
        <w:t>professional</w:t>
      </w:r>
      <w:r w:rsidR="00855917" w:rsidRPr="00956EDA">
        <w:rPr>
          <w:rFonts w:eastAsia="Times New Roman" w:cstheme="minorHAnsi"/>
        </w:rPr>
        <w:t xml:space="preserve"> decisions</w:t>
      </w:r>
      <w:r w:rsidR="00A93961" w:rsidRPr="00956EDA">
        <w:rPr>
          <w:rFonts w:eastAsia="Times New Roman" w:cstheme="minorHAnsi"/>
        </w:rPr>
        <w:t>.</w:t>
      </w:r>
      <w:r w:rsidR="00855917" w:rsidRPr="00956EDA">
        <w:rPr>
          <w:rFonts w:eastAsia="Times New Roman" w:cstheme="minorHAnsi"/>
        </w:rPr>
        <w:t xml:space="preserve"> </w:t>
      </w:r>
      <w:r w:rsidR="008359FA" w:rsidRPr="00956EDA">
        <w:rPr>
          <w:rFonts w:eastAsia="Times New Roman" w:cstheme="minorHAnsi"/>
        </w:rPr>
        <w:t>They must be skilled and committed to reflective practice in which data guide t</w:t>
      </w:r>
      <w:r w:rsidR="008D099E" w:rsidRPr="00956EDA">
        <w:rPr>
          <w:rFonts w:eastAsia="Times New Roman" w:cstheme="minorHAnsi"/>
        </w:rPr>
        <w:t xml:space="preserve">heir </w:t>
      </w:r>
      <w:r w:rsidR="008359FA" w:rsidRPr="00956EDA">
        <w:rPr>
          <w:rFonts w:eastAsia="Times New Roman" w:cstheme="minorHAnsi"/>
        </w:rPr>
        <w:t xml:space="preserve">professional growth. </w:t>
      </w:r>
      <w:r w:rsidR="003240DE" w:rsidRPr="00956EDA">
        <w:rPr>
          <w:rFonts w:eastAsia="Times New Roman" w:cstheme="minorHAnsi"/>
        </w:rPr>
        <w:t xml:space="preserve">They must </w:t>
      </w:r>
      <w:r w:rsidR="008359FA" w:rsidRPr="00956EDA">
        <w:rPr>
          <w:rFonts w:eastAsia="Times New Roman" w:cstheme="minorHAnsi"/>
        </w:rPr>
        <w:t xml:space="preserve">understand </w:t>
      </w:r>
      <w:r w:rsidR="008D099E" w:rsidRPr="00956EDA">
        <w:rPr>
          <w:rFonts w:eastAsia="Times New Roman" w:cstheme="minorHAnsi"/>
        </w:rPr>
        <w:t xml:space="preserve">the social, </w:t>
      </w:r>
      <w:r w:rsidR="00855917" w:rsidRPr="00956EDA">
        <w:rPr>
          <w:rFonts w:eastAsia="Times New Roman" w:cstheme="minorHAnsi"/>
        </w:rPr>
        <w:t xml:space="preserve">political </w:t>
      </w:r>
      <w:r w:rsidR="008D099E" w:rsidRPr="00956EDA">
        <w:rPr>
          <w:rFonts w:eastAsia="Times New Roman" w:cstheme="minorHAnsi"/>
        </w:rPr>
        <w:t xml:space="preserve">and professional </w:t>
      </w:r>
      <w:r w:rsidR="00855917" w:rsidRPr="00956EDA">
        <w:rPr>
          <w:rFonts w:eastAsia="Times New Roman" w:cstheme="minorHAnsi"/>
        </w:rPr>
        <w:t>contexts of education, including the increasing emphasis placed by national and state governments on data-based a</w:t>
      </w:r>
      <w:r w:rsidR="00613E4E" w:rsidRPr="00956EDA">
        <w:rPr>
          <w:rFonts w:eastAsia="Times New Roman" w:cstheme="minorHAnsi"/>
        </w:rPr>
        <w:t>ccountability practices;</w:t>
      </w:r>
      <w:r w:rsidR="00855917" w:rsidRPr="00956EDA">
        <w:rPr>
          <w:rFonts w:eastAsia="Times New Roman" w:cstheme="minorHAnsi"/>
        </w:rPr>
        <w:t xml:space="preserve"> research traditions that influence our understanding of what we must do to provide excell</w:t>
      </w:r>
      <w:r w:rsidR="00842F28" w:rsidRPr="00956EDA">
        <w:rPr>
          <w:rFonts w:eastAsia="Times New Roman" w:cstheme="minorHAnsi"/>
        </w:rPr>
        <w:t xml:space="preserve">ent education </w:t>
      </w:r>
      <w:r w:rsidR="00FA6185" w:rsidRPr="00956EDA">
        <w:rPr>
          <w:rFonts w:eastAsia="Times New Roman" w:cstheme="minorHAnsi"/>
        </w:rPr>
        <w:t>opportunities</w:t>
      </w:r>
      <w:r w:rsidR="00613E4E" w:rsidRPr="00956EDA">
        <w:rPr>
          <w:rFonts w:eastAsia="Times New Roman" w:cstheme="minorHAnsi"/>
        </w:rPr>
        <w:t xml:space="preserve">; </w:t>
      </w:r>
      <w:r w:rsidR="00855917" w:rsidRPr="00956EDA">
        <w:rPr>
          <w:rFonts w:eastAsia="Times New Roman" w:cstheme="minorHAnsi"/>
        </w:rPr>
        <w:t xml:space="preserve">and </w:t>
      </w:r>
      <w:r w:rsidR="008359FA" w:rsidRPr="00956EDA">
        <w:rPr>
          <w:rFonts w:eastAsia="Times New Roman" w:cstheme="minorHAnsi"/>
        </w:rPr>
        <w:t>the evolving role of technologies that influence learning within and outsi</w:t>
      </w:r>
      <w:r w:rsidR="00855917" w:rsidRPr="00956EDA">
        <w:rPr>
          <w:rFonts w:eastAsia="Times New Roman" w:cstheme="minorHAnsi"/>
        </w:rPr>
        <w:t>de traditional school settings.</w:t>
      </w:r>
      <w:r w:rsidR="008359FA" w:rsidRPr="00956EDA">
        <w:rPr>
          <w:rFonts w:eastAsia="Times New Roman" w:cstheme="minorHAnsi"/>
        </w:rPr>
        <w:t xml:space="preserve"> Most importantly, at every level, </w:t>
      </w:r>
      <w:r w:rsidR="00613E4E" w:rsidRPr="00956EDA">
        <w:rPr>
          <w:rFonts w:eastAsia="Times New Roman" w:cstheme="minorHAnsi"/>
        </w:rPr>
        <w:t>educators must realize how 21</w:t>
      </w:r>
      <w:r w:rsidR="00613E4E" w:rsidRPr="00956EDA">
        <w:rPr>
          <w:rFonts w:eastAsia="Times New Roman" w:cstheme="minorHAnsi"/>
          <w:vertAlign w:val="superscript"/>
        </w:rPr>
        <w:t>st</w:t>
      </w:r>
      <w:r w:rsidR="00613E4E" w:rsidRPr="00956EDA">
        <w:rPr>
          <w:rFonts w:eastAsia="Times New Roman" w:cstheme="minorHAnsi"/>
        </w:rPr>
        <w:t xml:space="preserve"> </w:t>
      </w:r>
      <w:r w:rsidR="008359FA" w:rsidRPr="00956EDA">
        <w:rPr>
          <w:rFonts w:eastAsia="Times New Roman" w:cstheme="minorHAnsi"/>
        </w:rPr>
        <w:t>century expectations extend well beyond what is measured by high-stakes accountability tests to include those social, personal, academic, and ethical understandings necessary for all students to experience the transformational power of education and prepare for 21</w:t>
      </w:r>
      <w:r w:rsidR="008359FA" w:rsidRPr="00956EDA">
        <w:rPr>
          <w:rFonts w:eastAsia="Times New Roman" w:cstheme="minorHAnsi"/>
          <w:vertAlign w:val="superscript"/>
        </w:rPr>
        <w:t>st</w:t>
      </w:r>
      <w:r w:rsidR="008359FA" w:rsidRPr="00956EDA">
        <w:rPr>
          <w:rFonts w:eastAsia="Times New Roman" w:cstheme="minorHAnsi"/>
        </w:rPr>
        <w:t xml:space="preserve"> century citizenship.  </w:t>
      </w:r>
    </w:p>
    <w:p w14:paraId="0A623E40" w14:textId="77777777" w:rsidR="001728E9" w:rsidRPr="00956EDA" w:rsidRDefault="00B46E4D" w:rsidP="00697AEF">
      <w:pPr>
        <w:rPr>
          <w:rFonts w:cstheme="minorHAnsi"/>
          <w:b/>
        </w:rPr>
      </w:pPr>
      <w:r w:rsidRPr="00956EDA">
        <w:rPr>
          <w:rFonts w:cstheme="minorHAnsi"/>
          <w:b/>
        </w:rPr>
        <w:t>History of the Conceptual Framework</w:t>
      </w:r>
    </w:p>
    <w:p w14:paraId="75FAC842" w14:textId="07ED3771" w:rsidR="00DC7420" w:rsidRPr="00956EDA" w:rsidRDefault="0073543A" w:rsidP="00697AEF">
      <w:pPr>
        <w:pStyle w:val="PlainText"/>
        <w:spacing w:after="200" w:line="276" w:lineRule="auto"/>
        <w:rPr>
          <w:rFonts w:asciiTheme="minorHAnsi" w:hAnsiTheme="minorHAnsi" w:cstheme="minorHAnsi"/>
          <w:sz w:val="22"/>
          <w:szCs w:val="22"/>
        </w:rPr>
      </w:pPr>
      <w:r w:rsidRPr="00956EDA">
        <w:rPr>
          <w:rFonts w:asciiTheme="minorHAnsi" w:hAnsiTheme="minorHAnsi" w:cstheme="minorHAnsi"/>
          <w:sz w:val="22"/>
          <w:szCs w:val="22"/>
        </w:rPr>
        <w:t xml:space="preserve">Since </w:t>
      </w:r>
      <w:r w:rsidR="002D3CD6" w:rsidRPr="00956EDA">
        <w:rPr>
          <w:rFonts w:asciiTheme="minorHAnsi" w:hAnsiTheme="minorHAnsi" w:cstheme="minorHAnsi"/>
          <w:sz w:val="22"/>
          <w:szCs w:val="22"/>
        </w:rPr>
        <w:t>its inception,</w:t>
      </w:r>
      <w:r w:rsidR="00DC7420" w:rsidRPr="00956EDA">
        <w:rPr>
          <w:rFonts w:asciiTheme="minorHAnsi" w:hAnsiTheme="minorHAnsi" w:cstheme="minorHAnsi"/>
          <w:sz w:val="22"/>
          <w:szCs w:val="22"/>
        </w:rPr>
        <w:t xml:space="preserve"> </w:t>
      </w:r>
      <w:r w:rsidR="002D3CD6" w:rsidRPr="00956EDA">
        <w:rPr>
          <w:rFonts w:asciiTheme="minorHAnsi" w:hAnsiTheme="minorHAnsi" w:cstheme="minorHAnsi"/>
          <w:sz w:val="22"/>
          <w:szCs w:val="22"/>
        </w:rPr>
        <w:t xml:space="preserve">the UNCG </w:t>
      </w:r>
      <w:r w:rsidRPr="00956EDA">
        <w:rPr>
          <w:rFonts w:asciiTheme="minorHAnsi" w:hAnsiTheme="minorHAnsi" w:cstheme="minorHAnsi"/>
          <w:sz w:val="22"/>
          <w:szCs w:val="22"/>
        </w:rPr>
        <w:t xml:space="preserve">Conceptual Framework </w:t>
      </w:r>
      <w:r w:rsidR="002D3CD6" w:rsidRPr="00956EDA">
        <w:rPr>
          <w:rFonts w:asciiTheme="minorHAnsi" w:hAnsiTheme="minorHAnsi" w:cstheme="minorHAnsi"/>
          <w:sz w:val="22"/>
          <w:szCs w:val="22"/>
        </w:rPr>
        <w:t>has been</w:t>
      </w:r>
      <w:r w:rsidR="00DD3701" w:rsidRPr="00956EDA">
        <w:rPr>
          <w:rFonts w:asciiTheme="minorHAnsi" w:hAnsiTheme="minorHAnsi" w:cstheme="minorHAnsi"/>
          <w:sz w:val="22"/>
          <w:szCs w:val="22"/>
        </w:rPr>
        <w:t xml:space="preserve"> subject to</w:t>
      </w:r>
      <w:r w:rsidRPr="00956EDA">
        <w:rPr>
          <w:rFonts w:asciiTheme="minorHAnsi" w:hAnsiTheme="minorHAnsi" w:cstheme="minorHAnsi"/>
          <w:sz w:val="22"/>
          <w:szCs w:val="22"/>
        </w:rPr>
        <w:t xml:space="preserve"> a dynamic process o</w:t>
      </w:r>
      <w:r w:rsidR="00DD3701" w:rsidRPr="00956EDA">
        <w:rPr>
          <w:rFonts w:asciiTheme="minorHAnsi" w:hAnsiTheme="minorHAnsi" w:cstheme="minorHAnsi"/>
          <w:sz w:val="22"/>
          <w:szCs w:val="22"/>
        </w:rPr>
        <w:t>f continual review and revision</w:t>
      </w:r>
      <w:r w:rsidR="00DA33FE" w:rsidRPr="00956EDA">
        <w:rPr>
          <w:rFonts w:asciiTheme="minorHAnsi" w:hAnsiTheme="minorHAnsi" w:cstheme="minorHAnsi"/>
          <w:sz w:val="22"/>
          <w:szCs w:val="22"/>
        </w:rPr>
        <w:t xml:space="preserve">. </w:t>
      </w:r>
      <w:r w:rsidR="00DC7420" w:rsidRPr="00956EDA">
        <w:rPr>
          <w:rFonts w:asciiTheme="minorHAnsi" w:hAnsiTheme="minorHAnsi" w:cstheme="minorHAnsi"/>
          <w:sz w:val="22"/>
          <w:szCs w:val="22"/>
        </w:rPr>
        <w:t xml:space="preserve">Grounded in current research, it provides unit-wide consistency in vision and practice, a framework for connections between theory and practice, and a springboard for examination of </w:t>
      </w:r>
      <w:r w:rsidR="00DA33FE" w:rsidRPr="00956EDA">
        <w:rPr>
          <w:rFonts w:asciiTheme="minorHAnsi" w:hAnsiTheme="minorHAnsi" w:cstheme="minorHAnsi"/>
          <w:sz w:val="22"/>
          <w:szCs w:val="22"/>
        </w:rPr>
        <w:t xml:space="preserve">the </w:t>
      </w:r>
      <w:r w:rsidR="00DC7420" w:rsidRPr="00956EDA">
        <w:rPr>
          <w:rFonts w:asciiTheme="minorHAnsi" w:hAnsiTheme="minorHAnsi" w:cstheme="minorHAnsi"/>
          <w:sz w:val="22"/>
          <w:szCs w:val="22"/>
        </w:rPr>
        <w:t xml:space="preserve">ways in which programs adapt and change in order to maintain relevancy to </w:t>
      </w:r>
      <w:r w:rsidR="002D3CD6" w:rsidRPr="00956EDA">
        <w:rPr>
          <w:rFonts w:asciiTheme="minorHAnsi" w:hAnsiTheme="minorHAnsi" w:cstheme="minorHAnsi"/>
          <w:sz w:val="22"/>
          <w:szCs w:val="22"/>
        </w:rPr>
        <w:t xml:space="preserve">current educational practice. </w:t>
      </w:r>
    </w:p>
    <w:p w14:paraId="30E16FDB" w14:textId="77777777" w:rsidR="00DC7420" w:rsidRPr="00956EDA" w:rsidRDefault="00DC7420" w:rsidP="00697AEF">
      <w:pPr>
        <w:pStyle w:val="PlainText"/>
        <w:spacing w:after="200" w:line="276" w:lineRule="auto"/>
        <w:rPr>
          <w:rFonts w:asciiTheme="minorHAnsi" w:hAnsiTheme="minorHAnsi" w:cstheme="minorHAnsi"/>
          <w:sz w:val="22"/>
          <w:szCs w:val="22"/>
        </w:rPr>
      </w:pPr>
      <w:r w:rsidRPr="00956EDA">
        <w:rPr>
          <w:rFonts w:asciiTheme="minorHAnsi" w:hAnsiTheme="minorHAnsi" w:cstheme="minorHAnsi"/>
          <w:sz w:val="22"/>
          <w:szCs w:val="22"/>
        </w:rPr>
        <w:t>In 1990, the UNCG Teachers Academy developed the unit's original conceptual framework, "Philosophy to Guide the Education of Teachers and School Personnel at UNCG." This co</w:t>
      </w:r>
      <w:r w:rsidR="00BC3414" w:rsidRPr="00956EDA">
        <w:rPr>
          <w:rFonts w:asciiTheme="minorHAnsi" w:hAnsiTheme="minorHAnsi" w:cstheme="minorHAnsi"/>
          <w:sz w:val="22"/>
          <w:szCs w:val="22"/>
        </w:rPr>
        <w:t>nceptual framework defined the U</w:t>
      </w:r>
      <w:r w:rsidRPr="00956EDA">
        <w:rPr>
          <w:rFonts w:asciiTheme="minorHAnsi" w:hAnsiTheme="minorHAnsi" w:cstheme="minorHAnsi"/>
          <w:sz w:val="22"/>
          <w:szCs w:val="22"/>
        </w:rPr>
        <w:t>nit’s mission and served as a guide to the development of all professional education programs at UNCG. During the next ten years, programs at UNCG were introduced, eliminated or restructured, and in the process, conversations about the currency of the conceptual framework took place across all program areas</w:t>
      </w:r>
      <w:r w:rsidR="0073543A" w:rsidRPr="00956EDA">
        <w:rPr>
          <w:rFonts w:asciiTheme="minorHAnsi" w:hAnsiTheme="minorHAnsi" w:cstheme="minorHAnsi"/>
          <w:sz w:val="22"/>
          <w:szCs w:val="22"/>
        </w:rPr>
        <w:t xml:space="preserve">.  In </w:t>
      </w:r>
      <w:r w:rsidRPr="00956EDA">
        <w:rPr>
          <w:rFonts w:asciiTheme="minorHAnsi" w:hAnsiTheme="minorHAnsi" w:cstheme="minorHAnsi"/>
          <w:sz w:val="22"/>
          <w:szCs w:val="22"/>
        </w:rPr>
        <w:t xml:space="preserve">spring </w:t>
      </w:r>
      <w:r w:rsidR="0073543A" w:rsidRPr="00956EDA">
        <w:rPr>
          <w:rFonts w:asciiTheme="minorHAnsi" w:hAnsiTheme="minorHAnsi" w:cstheme="minorHAnsi"/>
          <w:sz w:val="22"/>
          <w:szCs w:val="22"/>
        </w:rPr>
        <w:t xml:space="preserve">2000, </w:t>
      </w:r>
      <w:r w:rsidRPr="00956EDA">
        <w:rPr>
          <w:rFonts w:asciiTheme="minorHAnsi" w:hAnsiTheme="minorHAnsi" w:cstheme="minorHAnsi"/>
          <w:sz w:val="22"/>
          <w:szCs w:val="22"/>
        </w:rPr>
        <w:t>the NCATE draft standards served as the basis for further analysis</w:t>
      </w:r>
      <w:r w:rsidR="0073543A" w:rsidRPr="00956EDA">
        <w:rPr>
          <w:rFonts w:asciiTheme="minorHAnsi" w:hAnsiTheme="minorHAnsi" w:cstheme="minorHAnsi"/>
          <w:sz w:val="22"/>
          <w:szCs w:val="22"/>
        </w:rPr>
        <w:t xml:space="preserve">. After </w:t>
      </w:r>
      <w:r w:rsidR="0073543A" w:rsidRPr="00956EDA">
        <w:rPr>
          <w:rFonts w:asciiTheme="minorHAnsi" w:hAnsiTheme="minorHAnsi" w:cstheme="minorHAnsi"/>
          <w:sz w:val="22"/>
          <w:szCs w:val="22"/>
        </w:rPr>
        <w:lastRenderedPageBreak/>
        <w:t>extensive study and development, in a process that included University faculty, students, staff and public sch</w:t>
      </w:r>
      <w:r w:rsidR="007200A8" w:rsidRPr="00956EDA">
        <w:rPr>
          <w:rFonts w:asciiTheme="minorHAnsi" w:hAnsiTheme="minorHAnsi" w:cstheme="minorHAnsi"/>
          <w:sz w:val="22"/>
          <w:szCs w:val="22"/>
        </w:rPr>
        <w:t>ool partners, a new conceptual f</w:t>
      </w:r>
      <w:r w:rsidR="0073543A" w:rsidRPr="00956EDA">
        <w:rPr>
          <w:rFonts w:asciiTheme="minorHAnsi" w:hAnsiTheme="minorHAnsi" w:cstheme="minorHAnsi"/>
          <w:sz w:val="22"/>
          <w:szCs w:val="22"/>
        </w:rPr>
        <w:t>ramework was adopted in 2001.</w:t>
      </w:r>
    </w:p>
    <w:p w14:paraId="538D0358" w14:textId="77777777" w:rsidR="00DC7420" w:rsidRPr="00956EDA" w:rsidRDefault="00DC7420" w:rsidP="00697AEF">
      <w:pPr>
        <w:pStyle w:val="PlainText"/>
        <w:spacing w:after="200" w:line="276" w:lineRule="auto"/>
        <w:rPr>
          <w:rFonts w:asciiTheme="minorHAnsi" w:hAnsiTheme="minorHAnsi" w:cstheme="minorHAnsi"/>
          <w:sz w:val="22"/>
          <w:szCs w:val="22"/>
        </w:rPr>
      </w:pPr>
      <w:r w:rsidRPr="00956EDA">
        <w:rPr>
          <w:rFonts w:asciiTheme="minorHAnsi" w:hAnsiTheme="minorHAnsi" w:cstheme="minorHAnsi"/>
          <w:sz w:val="22"/>
          <w:szCs w:val="22"/>
        </w:rPr>
        <w:t>The revised conceptual framework retained the core of the 1990 philosophical statement at the same time that it was greatly expanded to reflect the u</w:t>
      </w:r>
      <w:r w:rsidR="00E56000" w:rsidRPr="00956EDA">
        <w:rPr>
          <w:rFonts w:asciiTheme="minorHAnsi" w:hAnsiTheme="minorHAnsi" w:cstheme="minorHAnsi"/>
          <w:sz w:val="22"/>
          <w:szCs w:val="22"/>
        </w:rPr>
        <w:t>nit’s shared vision that</w:t>
      </w:r>
      <w:r w:rsidRPr="00956EDA">
        <w:rPr>
          <w:rFonts w:asciiTheme="minorHAnsi" w:hAnsiTheme="minorHAnsi" w:cstheme="minorHAnsi"/>
          <w:sz w:val="22"/>
          <w:szCs w:val="22"/>
        </w:rPr>
        <w:t xml:space="preserve"> B-12 educators</w:t>
      </w:r>
      <w:r w:rsidR="00E56000" w:rsidRPr="00956EDA">
        <w:rPr>
          <w:rFonts w:asciiTheme="minorHAnsi" w:hAnsiTheme="minorHAnsi" w:cstheme="minorHAnsi"/>
          <w:sz w:val="22"/>
          <w:szCs w:val="22"/>
        </w:rPr>
        <w:t xml:space="preserve"> must be </w:t>
      </w:r>
      <w:r w:rsidR="001C7096" w:rsidRPr="00956EDA">
        <w:rPr>
          <w:rFonts w:asciiTheme="minorHAnsi" w:hAnsiTheme="minorHAnsi" w:cstheme="minorHAnsi"/>
          <w:sz w:val="22"/>
          <w:szCs w:val="22"/>
        </w:rPr>
        <w:t>“</w:t>
      </w:r>
      <w:r w:rsidR="0088403C" w:rsidRPr="00956EDA">
        <w:rPr>
          <w:rFonts w:asciiTheme="minorHAnsi" w:hAnsiTheme="minorHAnsi" w:cstheme="minorHAnsi"/>
          <w:sz w:val="22"/>
          <w:szCs w:val="22"/>
        </w:rPr>
        <w:t>Caring, Collaborative and Competent</w:t>
      </w:r>
      <w:r w:rsidR="00C75E84" w:rsidRPr="00956EDA">
        <w:rPr>
          <w:rFonts w:asciiTheme="minorHAnsi" w:hAnsiTheme="minorHAnsi" w:cstheme="minorHAnsi"/>
          <w:sz w:val="22"/>
          <w:szCs w:val="22"/>
        </w:rPr>
        <w:t xml:space="preserve">.” </w:t>
      </w:r>
      <w:r w:rsidR="00E56000" w:rsidRPr="00956EDA">
        <w:rPr>
          <w:rFonts w:asciiTheme="minorHAnsi" w:hAnsiTheme="minorHAnsi" w:cstheme="minorHAnsi"/>
          <w:sz w:val="22"/>
          <w:szCs w:val="22"/>
        </w:rPr>
        <w:t xml:space="preserve">This </w:t>
      </w:r>
      <w:r w:rsidR="001C7096" w:rsidRPr="00956EDA">
        <w:rPr>
          <w:rFonts w:asciiTheme="minorHAnsi" w:hAnsiTheme="minorHAnsi" w:cstheme="minorHAnsi"/>
          <w:sz w:val="22"/>
          <w:szCs w:val="22"/>
        </w:rPr>
        <w:t xml:space="preserve">goal </w:t>
      </w:r>
      <w:r w:rsidR="00E56000" w:rsidRPr="00956EDA">
        <w:rPr>
          <w:rFonts w:asciiTheme="minorHAnsi" w:hAnsiTheme="minorHAnsi" w:cstheme="minorHAnsi"/>
          <w:sz w:val="22"/>
          <w:szCs w:val="22"/>
        </w:rPr>
        <w:t xml:space="preserve">was </w:t>
      </w:r>
      <w:r w:rsidR="001C7096" w:rsidRPr="00956EDA">
        <w:rPr>
          <w:rFonts w:asciiTheme="minorHAnsi" w:hAnsiTheme="minorHAnsi" w:cstheme="minorHAnsi"/>
          <w:sz w:val="22"/>
          <w:szCs w:val="22"/>
        </w:rPr>
        <w:t xml:space="preserve">achieved </w:t>
      </w:r>
      <w:r w:rsidR="0088403C" w:rsidRPr="00956EDA">
        <w:rPr>
          <w:rFonts w:asciiTheme="minorHAnsi" w:hAnsiTheme="minorHAnsi" w:cstheme="minorHAnsi"/>
          <w:sz w:val="22"/>
          <w:szCs w:val="22"/>
        </w:rPr>
        <w:t>through</w:t>
      </w:r>
      <w:r w:rsidRPr="00956EDA">
        <w:rPr>
          <w:rFonts w:asciiTheme="minorHAnsi" w:hAnsiTheme="minorHAnsi" w:cstheme="minorHAnsi"/>
          <w:sz w:val="22"/>
          <w:szCs w:val="22"/>
        </w:rPr>
        <w:t>:</w:t>
      </w:r>
    </w:p>
    <w:p w14:paraId="63C61830" w14:textId="77777777" w:rsidR="00DC7420" w:rsidRPr="00956EDA" w:rsidRDefault="00DC7420" w:rsidP="003F46B4">
      <w:pPr>
        <w:pStyle w:val="PlainText"/>
        <w:numPr>
          <w:ilvl w:val="0"/>
          <w:numId w:val="3"/>
        </w:numPr>
        <w:tabs>
          <w:tab w:val="clear" w:pos="720"/>
          <w:tab w:val="num" w:pos="1440"/>
        </w:tabs>
        <w:spacing w:line="276" w:lineRule="auto"/>
        <w:rPr>
          <w:rFonts w:asciiTheme="minorHAnsi" w:hAnsiTheme="minorHAnsi" w:cstheme="minorHAnsi"/>
          <w:sz w:val="22"/>
          <w:szCs w:val="22"/>
        </w:rPr>
      </w:pPr>
      <w:r w:rsidRPr="00956EDA">
        <w:rPr>
          <w:rFonts w:asciiTheme="minorHAnsi" w:hAnsiTheme="minorHAnsi" w:cstheme="minorHAnsi"/>
          <w:sz w:val="22"/>
          <w:szCs w:val="22"/>
        </w:rPr>
        <w:t xml:space="preserve">a knowledge-base grounded in current research literature </w:t>
      </w:r>
    </w:p>
    <w:p w14:paraId="419AE5BE" w14:textId="77777777" w:rsidR="00DC7420" w:rsidRPr="00956EDA" w:rsidRDefault="00DC7420" w:rsidP="00697AEF">
      <w:pPr>
        <w:pStyle w:val="PlainText"/>
        <w:numPr>
          <w:ilvl w:val="0"/>
          <w:numId w:val="3"/>
        </w:numPr>
        <w:spacing w:line="276" w:lineRule="auto"/>
        <w:rPr>
          <w:rFonts w:asciiTheme="minorHAnsi" w:hAnsiTheme="minorHAnsi" w:cstheme="minorHAnsi"/>
          <w:sz w:val="22"/>
          <w:szCs w:val="22"/>
        </w:rPr>
      </w:pPr>
      <w:r w:rsidRPr="00956EDA">
        <w:rPr>
          <w:rFonts w:asciiTheme="minorHAnsi" w:hAnsiTheme="minorHAnsi" w:cstheme="minorHAnsi"/>
          <w:sz w:val="22"/>
          <w:szCs w:val="22"/>
        </w:rPr>
        <w:t xml:space="preserve">coherency among all programmatic components </w:t>
      </w:r>
    </w:p>
    <w:p w14:paraId="6E6C90F9" w14:textId="77777777" w:rsidR="00DC7420" w:rsidRPr="00956EDA" w:rsidRDefault="00DC7420" w:rsidP="00697AEF">
      <w:pPr>
        <w:pStyle w:val="PlainText"/>
        <w:numPr>
          <w:ilvl w:val="0"/>
          <w:numId w:val="3"/>
        </w:numPr>
        <w:spacing w:line="276" w:lineRule="auto"/>
        <w:rPr>
          <w:rFonts w:asciiTheme="minorHAnsi" w:hAnsiTheme="minorHAnsi" w:cstheme="minorHAnsi"/>
          <w:sz w:val="22"/>
          <w:szCs w:val="22"/>
        </w:rPr>
      </w:pPr>
      <w:r w:rsidRPr="00956EDA">
        <w:rPr>
          <w:rFonts w:asciiTheme="minorHAnsi" w:hAnsiTheme="minorHAnsi" w:cstheme="minorHAnsi"/>
          <w:sz w:val="22"/>
          <w:szCs w:val="22"/>
        </w:rPr>
        <w:t>c</w:t>
      </w:r>
      <w:r w:rsidR="00DA33FE" w:rsidRPr="00956EDA">
        <w:rPr>
          <w:rFonts w:asciiTheme="minorHAnsi" w:hAnsiTheme="minorHAnsi" w:cstheme="minorHAnsi"/>
          <w:sz w:val="22"/>
          <w:szCs w:val="22"/>
        </w:rPr>
        <w:t>onsistency with the University mission and UNC T</w:t>
      </w:r>
      <w:r w:rsidRPr="00956EDA">
        <w:rPr>
          <w:rFonts w:asciiTheme="minorHAnsi" w:hAnsiTheme="minorHAnsi" w:cstheme="minorHAnsi"/>
          <w:sz w:val="22"/>
          <w:szCs w:val="22"/>
        </w:rPr>
        <w:t xml:space="preserve">eacher Education Deans' </w:t>
      </w:r>
    </w:p>
    <w:p w14:paraId="56029053" w14:textId="77777777" w:rsidR="00DC7420" w:rsidRPr="00956EDA" w:rsidRDefault="00DC7420" w:rsidP="00697AEF">
      <w:pPr>
        <w:pStyle w:val="PlainText"/>
        <w:spacing w:line="276" w:lineRule="auto"/>
        <w:ind w:left="720"/>
        <w:rPr>
          <w:rFonts w:asciiTheme="minorHAnsi" w:hAnsiTheme="minorHAnsi" w:cstheme="minorHAnsi"/>
          <w:sz w:val="22"/>
          <w:szCs w:val="22"/>
        </w:rPr>
      </w:pPr>
      <w:r w:rsidRPr="00956EDA">
        <w:rPr>
          <w:rFonts w:asciiTheme="minorHAnsi" w:hAnsiTheme="minorHAnsi" w:cstheme="minorHAnsi"/>
          <w:sz w:val="22"/>
          <w:szCs w:val="22"/>
        </w:rPr>
        <w:t>Council Vision</w:t>
      </w:r>
      <w:r w:rsidR="00DA33FE" w:rsidRPr="00956EDA">
        <w:rPr>
          <w:rFonts w:asciiTheme="minorHAnsi" w:hAnsiTheme="minorHAnsi" w:cstheme="minorHAnsi"/>
          <w:sz w:val="22"/>
          <w:szCs w:val="22"/>
        </w:rPr>
        <w:t>,</w:t>
      </w:r>
      <w:r w:rsidRPr="00956EDA">
        <w:rPr>
          <w:rFonts w:asciiTheme="minorHAnsi" w:hAnsiTheme="minorHAnsi" w:cstheme="minorHAnsi"/>
          <w:sz w:val="22"/>
          <w:szCs w:val="22"/>
        </w:rPr>
        <w:t xml:space="preserve"> and </w:t>
      </w:r>
    </w:p>
    <w:p w14:paraId="3B67A156" w14:textId="77777777" w:rsidR="00DC7420" w:rsidRPr="00956EDA" w:rsidRDefault="00DC7420" w:rsidP="00697AEF">
      <w:pPr>
        <w:pStyle w:val="PlainText"/>
        <w:numPr>
          <w:ilvl w:val="0"/>
          <w:numId w:val="2"/>
        </w:numPr>
        <w:spacing w:after="240" w:line="276" w:lineRule="auto"/>
        <w:rPr>
          <w:rFonts w:asciiTheme="minorHAnsi" w:hAnsiTheme="minorHAnsi" w:cstheme="minorHAnsi"/>
          <w:sz w:val="22"/>
          <w:szCs w:val="22"/>
        </w:rPr>
      </w:pPr>
      <w:proofErr w:type="gramStart"/>
      <w:r w:rsidRPr="00956EDA">
        <w:rPr>
          <w:rFonts w:asciiTheme="minorHAnsi" w:hAnsiTheme="minorHAnsi" w:cstheme="minorHAnsi"/>
          <w:sz w:val="22"/>
          <w:szCs w:val="22"/>
        </w:rPr>
        <w:t>a</w:t>
      </w:r>
      <w:proofErr w:type="gramEnd"/>
      <w:r w:rsidRPr="00956EDA">
        <w:rPr>
          <w:rFonts w:asciiTheme="minorHAnsi" w:hAnsiTheme="minorHAnsi" w:cstheme="minorHAnsi"/>
          <w:sz w:val="22"/>
          <w:szCs w:val="22"/>
        </w:rPr>
        <w:t xml:space="preserve"> set of institutional expectations that are aligned with professional and </w:t>
      </w:r>
      <w:r w:rsidR="00DA33FE" w:rsidRPr="00956EDA">
        <w:rPr>
          <w:rFonts w:asciiTheme="minorHAnsi" w:hAnsiTheme="minorHAnsi" w:cstheme="minorHAnsi"/>
          <w:sz w:val="22"/>
          <w:szCs w:val="22"/>
        </w:rPr>
        <w:t>S</w:t>
      </w:r>
      <w:r w:rsidRPr="00956EDA">
        <w:rPr>
          <w:rFonts w:asciiTheme="minorHAnsi" w:hAnsiTheme="minorHAnsi" w:cstheme="minorHAnsi"/>
          <w:sz w:val="22"/>
          <w:szCs w:val="22"/>
        </w:rPr>
        <w:t xml:space="preserve">tate standards. </w:t>
      </w:r>
    </w:p>
    <w:p w14:paraId="11A52A46" w14:textId="77777777" w:rsidR="00DC7420" w:rsidRPr="00956EDA" w:rsidRDefault="00DC7420" w:rsidP="00697AEF">
      <w:pPr>
        <w:pStyle w:val="PlainText"/>
        <w:spacing w:after="200" w:line="276" w:lineRule="auto"/>
        <w:rPr>
          <w:rFonts w:asciiTheme="minorHAnsi" w:hAnsiTheme="minorHAnsi" w:cstheme="minorHAnsi"/>
          <w:sz w:val="22"/>
          <w:szCs w:val="22"/>
        </w:rPr>
      </w:pPr>
      <w:r w:rsidRPr="00956EDA">
        <w:rPr>
          <w:rFonts w:asciiTheme="minorHAnsi" w:hAnsiTheme="minorHAnsi" w:cstheme="minorHAnsi"/>
          <w:sz w:val="22"/>
          <w:szCs w:val="22"/>
        </w:rPr>
        <w:t>All programs aligned</w:t>
      </w:r>
      <w:r w:rsidR="00E56000" w:rsidRPr="00956EDA">
        <w:rPr>
          <w:rFonts w:asciiTheme="minorHAnsi" w:hAnsiTheme="minorHAnsi" w:cstheme="minorHAnsi"/>
          <w:sz w:val="22"/>
          <w:szCs w:val="22"/>
        </w:rPr>
        <w:t xml:space="preserve"> their own missions</w:t>
      </w:r>
      <w:r w:rsidRPr="00956EDA">
        <w:rPr>
          <w:rFonts w:asciiTheme="minorHAnsi" w:hAnsiTheme="minorHAnsi" w:cstheme="minorHAnsi"/>
          <w:sz w:val="22"/>
          <w:szCs w:val="22"/>
        </w:rPr>
        <w:t xml:space="preserve"> with the unit’s </w:t>
      </w:r>
      <w:r w:rsidR="00E56000" w:rsidRPr="00956EDA">
        <w:rPr>
          <w:rFonts w:asciiTheme="minorHAnsi" w:hAnsiTheme="minorHAnsi" w:cstheme="minorHAnsi"/>
          <w:sz w:val="22"/>
          <w:szCs w:val="22"/>
        </w:rPr>
        <w:t>conceptual framework</w:t>
      </w:r>
      <w:r w:rsidRPr="00956EDA">
        <w:rPr>
          <w:rFonts w:asciiTheme="minorHAnsi" w:hAnsiTheme="minorHAnsi" w:cstheme="minorHAnsi"/>
          <w:sz w:val="22"/>
          <w:szCs w:val="22"/>
        </w:rPr>
        <w:t xml:space="preserve"> and ensured that students and faculty k</w:t>
      </w:r>
      <w:r w:rsidR="00E56000" w:rsidRPr="00956EDA">
        <w:rPr>
          <w:rFonts w:asciiTheme="minorHAnsi" w:hAnsiTheme="minorHAnsi" w:cstheme="minorHAnsi"/>
          <w:sz w:val="22"/>
          <w:szCs w:val="22"/>
        </w:rPr>
        <w:t xml:space="preserve">new and actualized </w:t>
      </w:r>
      <w:r w:rsidR="00FA6185" w:rsidRPr="00956EDA">
        <w:rPr>
          <w:rFonts w:asciiTheme="minorHAnsi" w:hAnsiTheme="minorHAnsi" w:cstheme="minorHAnsi"/>
          <w:sz w:val="22"/>
          <w:szCs w:val="22"/>
        </w:rPr>
        <w:t>its</w:t>
      </w:r>
      <w:r w:rsidR="00E56000" w:rsidRPr="00956EDA">
        <w:rPr>
          <w:rFonts w:asciiTheme="minorHAnsi" w:hAnsiTheme="minorHAnsi" w:cstheme="minorHAnsi"/>
          <w:sz w:val="22"/>
          <w:szCs w:val="22"/>
        </w:rPr>
        <w:t xml:space="preserve"> values.</w:t>
      </w:r>
      <w:r w:rsidRPr="00956EDA">
        <w:rPr>
          <w:rFonts w:asciiTheme="minorHAnsi" w:hAnsiTheme="minorHAnsi" w:cstheme="minorHAnsi"/>
          <w:sz w:val="22"/>
          <w:szCs w:val="22"/>
        </w:rPr>
        <w:t xml:space="preserve"> </w:t>
      </w:r>
    </w:p>
    <w:p w14:paraId="08538498" w14:textId="1B1F8171" w:rsidR="007D380E" w:rsidRPr="00956EDA" w:rsidRDefault="00E56000" w:rsidP="00697AEF">
      <w:pPr>
        <w:pStyle w:val="PlainText"/>
        <w:spacing w:after="200" w:line="276" w:lineRule="auto"/>
        <w:rPr>
          <w:rFonts w:asciiTheme="minorHAnsi" w:hAnsiTheme="minorHAnsi" w:cstheme="minorHAnsi"/>
          <w:sz w:val="22"/>
          <w:szCs w:val="22"/>
        </w:rPr>
      </w:pPr>
      <w:r w:rsidRPr="00956EDA">
        <w:rPr>
          <w:rFonts w:asciiTheme="minorHAnsi" w:hAnsiTheme="minorHAnsi" w:cstheme="minorHAnsi"/>
          <w:sz w:val="22"/>
          <w:szCs w:val="22"/>
        </w:rPr>
        <w:t>In the years after the</w:t>
      </w:r>
      <w:r w:rsidR="00DC7420" w:rsidRPr="00956EDA">
        <w:rPr>
          <w:rFonts w:asciiTheme="minorHAnsi" w:hAnsiTheme="minorHAnsi" w:cstheme="minorHAnsi"/>
          <w:sz w:val="22"/>
          <w:szCs w:val="22"/>
        </w:rPr>
        <w:t xml:space="preserve"> development of UNCG</w:t>
      </w:r>
      <w:r w:rsidRPr="00956EDA">
        <w:rPr>
          <w:rFonts w:asciiTheme="minorHAnsi" w:hAnsiTheme="minorHAnsi" w:cstheme="minorHAnsi"/>
          <w:sz w:val="22"/>
          <w:szCs w:val="22"/>
        </w:rPr>
        <w:t>’s 2001</w:t>
      </w:r>
      <w:r w:rsidR="00DC7420" w:rsidRPr="00956EDA">
        <w:rPr>
          <w:rFonts w:asciiTheme="minorHAnsi" w:hAnsiTheme="minorHAnsi" w:cstheme="minorHAnsi"/>
          <w:sz w:val="22"/>
          <w:szCs w:val="22"/>
        </w:rPr>
        <w:t xml:space="preserve"> Conceptual Framework</w:t>
      </w:r>
      <w:r w:rsidR="00FA6185" w:rsidRPr="00956EDA">
        <w:rPr>
          <w:rFonts w:asciiTheme="minorHAnsi" w:hAnsiTheme="minorHAnsi" w:cstheme="minorHAnsi"/>
          <w:sz w:val="22"/>
          <w:szCs w:val="22"/>
        </w:rPr>
        <w:t>,</w:t>
      </w:r>
      <w:r w:rsidR="00DC7420" w:rsidRPr="00956EDA">
        <w:rPr>
          <w:rFonts w:asciiTheme="minorHAnsi" w:hAnsiTheme="minorHAnsi" w:cstheme="minorHAnsi"/>
          <w:sz w:val="22"/>
          <w:szCs w:val="22"/>
        </w:rPr>
        <w:t xml:space="preserve"> </w:t>
      </w:r>
      <w:r w:rsidR="0088403C" w:rsidRPr="00956EDA">
        <w:rPr>
          <w:rFonts w:asciiTheme="minorHAnsi" w:hAnsiTheme="minorHAnsi" w:cstheme="minorHAnsi"/>
          <w:sz w:val="22"/>
          <w:szCs w:val="22"/>
        </w:rPr>
        <w:t xml:space="preserve">University and school partners </w:t>
      </w:r>
      <w:r w:rsidR="00DC7420" w:rsidRPr="00956EDA">
        <w:rPr>
          <w:rFonts w:asciiTheme="minorHAnsi" w:hAnsiTheme="minorHAnsi" w:cstheme="minorHAnsi"/>
          <w:sz w:val="22"/>
          <w:szCs w:val="22"/>
        </w:rPr>
        <w:t>met repeatedly</w:t>
      </w:r>
      <w:r w:rsidR="0088403C" w:rsidRPr="00956EDA">
        <w:rPr>
          <w:rFonts w:asciiTheme="minorHAnsi" w:hAnsiTheme="minorHAnsi" w:cstheme="minorHAnsi"/>
          <w:sz w:val="22"/>
          <w:szCs w:val="22"/>
        </w:rPr>
        <w:t xml:space="preserve"> to discuss potential revisions. While they continued to find that the Conceptual Framework was a strong and appropriate guide to our professional programs, they found areas that required more intensive </w:t>
      </w:r>
      <w:r w:rsidR="00ED2813" w:rsidRPr="00956EDA">
        <w:rPr>
          <w:rFonts w:asciiTheme="minorHAnsi" w:hAnsiTheme="minorHAnsi" w:cstheme="minorHAnsi"/>
          <w:sz w:val="22"/>
          <w:szCs w:val="22"/>
        </w:rPr>
        <w:t>application</w:t>
      </w:r>
      <w:r w:rsidR="0088403C" w:rsidRPr="00956EDA">
        <w:rPr>
          <w:rFonts w:asciiTheme="minorHAnsi" w:hAnsiTheme="minorHAnsi" w:cstheme="minorHAnsi"/>
          <w:sz w:val="22"/>
          <w:szCs w:val="22"/>
        </w:rPr>
        <w:t xml:space="preserve"> of the </w:t>
      </w:r>
      <w:r w:rsidR="00C20BEC" w:rsidRPr="00956EDA">
        <w:rPr>
          <w:rFonts w:asciiTheme="minorHAnsi" w:hAnsiTheme="minorHAnsi" w:cstheme="minorHAnsi"/>
          <w:sz w:val="22"/>
          <w:szCs w:val="22"/>
        </w:rPr>
        <w:t>Conceptual Framework</w:t>
      </w:r>
      <w:r w:rsidR="0088403C" w:rsidRPr="00956EDA">
        <w:rPr>
          <w:rFonts w:asciiTheme="minorHAnsi" w:hAnsiTheme="minorHAnsi" w:cstheme="minorHAnsi"/>
          <w:sz w:val="22"/>
          <w:szCs w:val="22"/>
        </w:rPr>
        <w:t xml:space="preserve"> values. </w:t>
      </w:r>
      <w:r w:rsidRPr="00956EDA">
        <w:rPr>
          <w:rFonts w:asciiTheme="minorHAnsi" w:hAnsiTheme="minorHAnsi" w:cstheme="minorHAnsi"/>
          <w:sz w:val="22"/>
          <w:szCs w:val="22"/>
        </w:rPr>
        <w:t>In particular, they emphasized the need to increase the clarity of our definitions, instruction and assessment relative to diversity and dispositions.</w:t>
      </w:r>
      <w:r w:rsidR="00DA33FE" w:rsidRPr="00956EDA">
        <w:rPr>
          <w:rFonts w:asciiTheme="minorHAnsi" w:hAnsiTheme="minorHAnsi" w:cstheme="minorHAnsi"/>
          <w:sz w:val="22"/>
          <w:szCs w:val="22"/>
        </w:rPr>
        <w:t xml:space="preserve"> W</w:t>
      </w:r>
      <w:r w:rsidRPr="00956EDA">
        <w:rPr>
          <w:rFonts w:asciiTheme="minorHAnsi" w:hAnsiTheme="minorHAnsi" w:cstheme="minorHAnsi"/>
          <w:sz w:val="22"/>
          <w:szCs w:val="22"/>
        </w:rPr>
        <w:t xml:space="preserve">ith </w:t>
      </w:r>
      <w:r w:rsidR="00A319BE" w:rsidRPr="00956EDA">
        <w:rPr>
          <w:rFonts w:asciiTheme="minorHAnsi" w:hAnsiTheme="minorHAnsi" w:cstheme="minorHAnsi"/>
          <w:sz w:val="22"/>
          <w:szCs w:val="22"/>
        </w:rPr>
        <w:t>these and a few other</w:t>
      </w:r>
      <w:r w:rsidRPr="00956EDA">
        <w:rPr>
          <w:rFonts w:asciiTheme="minorHAnsi" w:hAnsiTheme="minorHAnsi" w:cstheme="minorHAnsi"/>
          <w:sz w:val="22"/>
          <w:szCs w:val="22"/>
        </w:rPr>
        <w:t xml:space="preserve"> minor revisions, </w:t>
      </w:r>
      <w:r w:rsidR="0088403C" w:rsidRPr="00956EDA">
        <w:rPr>
          <w:rFonts w:asciiTheme="minorHAnsi" w:hAnsiTheme="minorHAnsi" w:cstheme="minorHAnsi"/>
          <w:sz w:val="22"/>
          <w:szCs w:val="22"/>
        </w:rPr>
        <w:t xml:space="preserve">the </w:t>
      </w:r>
      <w:r w:rsidRPr="00956EDA">
        <w:rPr>
          <w:rFonts w:asciiTheme="minorHAnsi" w:hAnsiTheme="minorHAnsi" w:cstheme="minorHAnsi"/>
          <w:sz w:val="22"/>
          <w:szCs w:val="22"/>
        </w:rPr>
        <w:t xml:space="preserve">2001 </w:t>
      </w:r>
      <w:r w:rsidR="0088403C" w:rsidRPr="00956EDA">
        <w:rPr>
          <w:rFonts w:asciiTheme="minorHAnsi" w:hAnsiTheme="minorHAnsi" w:cstheme="minorHAnsi"/>
          <w:sz w:val="22"/>
          <w:szCs w:val="22"/>
        </w:rPr>
        <w:t>Conceptual Framework continued to be appropriate for UNCG’s mission and its goal of meeting State and national standards.</w:t>
      </w:r>
    </w:p>
    <w:p w14:paraId="07126170" w14:textId="77777777" w:rsidR="005935DA" w:rsidRPr="00956EDA" w:rsidRDefault="005935DA" w:rsidP="00697AEF">
      <w:pPr>
        <w:rPr>
          <w:rFonts w:cstheme="minorHAnsi"/>
          <w:b/>
        </w:rPr>
      </w:pPr>
      <w:r w:rsidRPr="00956EDA">
        <w:rPr>
          <w:rFonts w:cstheme="minorHAnsi"/>
          <w:b/>
        </w:rPr>
        <w:t>Program Self-Study and Revision – 2006-2010</w:t>
      </w:r>
    </w:p>
    <w:p w14:paraId="6730AB39" w14:textId="77777777" w:rsidR="005935DA" w:rsidRPr="00956EDA" w:rsidRDefault="007D380E" w:rsidP="00697AEF">
      <w:pPr>
        <w:rPr>
          <w:rFonts w:cstheme="minorHAnsi"/>
        </w:rPr>
      </w:pPr>
      <w:r w:rsidRPr="00956EDA">
        <w:rPr>
          <w:rFonts w:cstheme="minorHAnsi"/>
        </w:rPr>
        <w:t xml:space="preserve">In 2006-07, the </w:t>
      </w:r>
      <w:r w:rsidR="001258A4" w:rsidRPr="00956EDA">
        <w:rPr>
          <w:rFonts w:cstheme="minorHAnsi"/>
        </w:rPr>
        <w:t xml:space="preserve">North Carolina State </w:t>
      </w:r>
      <w:r w:rsidRPr="00956EDA">
        <w:rPr>
          <w:rFonts w:cstheme="minorHAnsi"/>
        </w:rPr>
        <w:t>Board of Education developed new standards for teachers and administrators, as well as new procedures for program review. In response, UNCG programs</w:t>
      </w:r>
      <w:r w:rsidR="005935DA" w:rsidRPr="00956EDA">
        <w:rPr>
          <w:rFonts w:cstheme="minorHAnsi"/>
        </w:rPr>
        <w:t>, with their school partners,</w:t>
      </w:r>
      <w:r w:rsidRPr="00956EDA">
        <w:rPr>
          <w:rFonts w:cstheme="minorHAnsi"/>
        </w:rPr>
        <w:t xml:space="preserve"> </w:t>
      </w:r>
      <w:r w:rsidR="005935DA" w:rsidRPr="00956EDA">
        <w:rPr>
          <w:rFonts w:cstheme="minorHAnsi"/>
        </w:rPr>
        <w:t>undertook</w:t>
      </w:r>
      <w:r w:rsidRPr="00956EDA">
        <w:rPr>
          <w:rFonts w:cstheme="minorHAnsi"/>
        </w:rPr>
        <w:t xml:space="preserve"> extensive self-study and curriculum develop</w:t>
      </w:r>
      <w:r w:rsidR="005935DA" w:rsidRPr="00956EDA">
        <w:rPr>
          <w:rFonts w:cstheme="minorHAnsi"/>
        </w:rPr>
        <w:t>ment</w:t>
      </w:r>
      <w:r w:rsidRPr="00956EDA">
        <w:rPr>
          <w:rFonts w:cstheme="minorHAnsi"/>
        </w:rPr>
        <w:t xml:space="preserve"> to ensure that their candidates were prepare</w:t>
      </w:r>
      <w:r w:rsidR="005935DA" w:rsidRPr="00956EDA">
        <w:rPr>
          <w:rFonts w:cstheme="minorHAnsi"/>
        </w:rPr>
        <w:t>d</w:t>
      </w:r>
      <w:r w:rsidR="00682A1B" w:rsidRPr="00956EDA">
        <w:rPr>
          <w:rFonts w:cstheme="minorHAnsi"/>
        </w:rPr>
        <w:t xml:space="preserve"> </w:t>
      </w:r>
      <w:r w:rsidRPr="00956EDA">
        <w:rPr>
          <w:rFonts w:cstheme="minorHAnsi"/>
        </w:rPr>
        <w:t>with the appropriate content knowledge, pedagogical knowledge and skills, and professional dispositions</w:t>
      </w:r>
      <w:r w:rsidR="00682A1B" w:rsidRPr="00956EDA">
        <w:rPr>
          <w:rFonts w:cstheme="minorHAnsi"/>
        </w:rPr>
        <w:t xml:space="preserve"> to become effective educator</w:t>
      </w:r>
      <w:r w:rsidR="00842F28" w:rsidRPr="00956EDA">
        <w:rPr>
          <w:rFonts w:cstheme="minorHAnsi"/>
        </w:rPr>
        <w:t>s</w:t>
      </w:r>
      <w:r w:rsidR="00682A1B" w:rsidRPr="00956EDA">
        <w:rPr>
          <w:rFonts w:cstheme="minorHAnsi"/>
        </w:rPr>
        <w:t xml:space="preserve">. </w:t>
      </w:r>
      <w:r w:rsidR="00FA6185" w:rsidRPr="00956EDA">
        <w:rPr>
          <w:rFonts w:cstheme="minorHAnsi"/>
        </w:rPr>
        <w:t>The</w:t>
      </w:r>
      <w:r w:rsidR="005935DA" w:rsidRPr="00956EDA">
        <w:rPr>
          <w:rFonts w:cstheme="minorHAnsi"/>
        </w:rPr>
        <w:t xml:space="preserve"> programs identified coursework and field experiences related to leadership, professional knowledge and practice, inclusive and supportive environments, data-informed decision making, and professional reflection and growth. </w:t>
      </w:r>
    </w:p>
    <w:p w14:paraId="5125A9FC" w14:textId="2A07ABC5" w:rsidR="005935DA" w:rsidRPr="00956EDA" w:rsidRDefault="005935DA" w:rsidP="006155EE">
      <w:pPr>
        <w:rPr>
          <w:rStyle w:val="Strong"/>
          <w:rFonts w:cstheme="minorHAnsi"/>
          <w:b w:val="0"/>
        </w:rPr>
      </w:pPr>
      <w:r w:rsidRPr="00956EDA">
        <w:rPr>
          <w:rStyle w:val="Strong"/>
          <w:rFonts w:cstheme="minorHAnsi"/>
          <w:b w:val="0"/>
        </w:rPr>
        <w:t>A major emphasis of the new p</w:t>
      </w:r>
      <w:r w:rsidR="00BC3414" w:rsidRPr="00956EDA">
        <w:rPr>
          <w:rStyle w:val="Strong"/>
          <w:rFonts w:cstheme="minorHAnsi"/>
          <w:b w:val="0"/>
        </w:rPr>
        <w:t>rograms was the preparation of B-12 students for 21</w:t>
      </w:r>
      <w:r w:rsidR="00BC3414" w:rsidRPr="00956EDA">
        <w:rPr>
          <w:rStyle w:val="Strong"/>
          <w:rFonts w:cstheme="minorHAnsi"/>
          <w:b w:val="0"/>
          <w:vertAlign w:val="superscript"/>
        </w:rPr>
        <w:t>st</w:t>
      </w:r>
      <w:r w:rsidR="00BC3414" w:rsidRPr="00956EDA">
        <w:rPr>
          <w:rStyle w:val="Strong"/>
          <w:rFonts w:cstheme="minorHAnsi"/>
          <w:b w:val="0"/>
        </w:rPr>
        <w:t xml:space="preserve"> c</w:t>
      </w:r>
      <w:r w:rsidRPr="00956EDA">
        <w:rPr>
          <w:rStyle w:val="Strong"/>
          <w:rFonts w:cstheme="minorHAnsi"/>
          <w:b w:val="0"/>
        </w:rPr>
        <w:t xml:space="preserve">entury </w:t>
      </w:r>
      <w:r w:rsidR="00C20BEC" w:rsidRPr="00956EDA">
        <w:rPr>
          <w:rStyle w:val="Strong"/>
          <w:rFonts w:cstheme="minorHAnsi"/>
          <w:b w:val="0"/>
        </w:rPr>
        <w:t>demands</w:t>
      </w:r>
      <w:r w:rsidRPr="00956EDA">
        <w:rPr>
          <w:rStyle w:val="Strong"/>
          <w:rFonts w:cstheme="minorHAnsi"/>
          <w:b w:val="0"/>
        </w:rPr>
        <w:t xml:space="preserve">. To prepare “globally competitive students,” as noted in the State Board of Education goals, greater emphasis was placed on problem solving and critical thinking; multiple literacies, including technology competencies; and attention to diversity. </w:t>
      </w:r>
    </w:p>
    <w:p w14:paraId="2CF70130" w14:textId="77777777" w:rsidR="005935DA" w:rsidRPr="00956EDA" w:rsidRDefault="005935DA" w:rsidP="00770A56">
      <w:pPr>
        <w:shd w:val="clear" w:color="auto" w:fill="FFFFFF" w:themeFill="background1"/>
        <w:rPr>
          <w:rFonts w:cstheme="minorHAnsi"/>
        </w:rPr>
      </w:pPr>
      <w:r w:rsidRPr="00956EDA">
        <w:rPr>
          <w:rFonts w:cstheme="minorHAnsi"/>
        </w:rPr>
        <w:t xml:space="preserve">In </w:t>
      </w:r>
      <w:r w:rsidR="00682A1B" w:rsidRPr="00956EDA">
        <w:rPr>
          <w:rFonts w:cstheme="minorHAnsi"/>
        </w:rPr>
        <w:t xml:space="preserve">spring </w:t>
      </w:r>
      <w:r w:rsidRPr="00956EDA">
        <w:rPr>
          <w:rFonts w:cstheme="minorHAnsi"/>
        </w:rPr>
        <w:t xml:space="preserve">2009, 22 undergraduate initial licensure programs and four graduate-level programs were submitted </w:t>
      </w:r>
      <w:r w:rsidR="00770A56" w:rsidRPr="00956EDA">
        <w:rPr>
          <w:rFonts w:cstheme="minorHAnsi"/>
        </w:rPr>
        <w:t xml:space="preserve">to </w:t>
      </w:r>
      <w:r w:rsidR="00152BF5" w:rsidRPr="00956EDA">
        <w:rPr>
          <w:rFonts w:cstheme="minorHAnsi"/>
        </w:rPr>
        <w:t xml:space="preserve">the State Department of Public Instruction </w:t>
      </w:r>
      <w:r w:rsidRPr="00956EDA">
        <w:rPr>
          <w:rFonts w:cstheme="minorHAnsi"/>
        </w:rPr>
        <w:t xml:space="preserve">and received approval.  </w:t>
      </w:r>
      <w:r w:rsidR="00682A1B" w:rsidRPr="00956EDA">
        <w:rPr>
          <w:rFonts w:cstheme="minorHAnsi"/>
        </w:rPr>
        <w:t xml:space="preserve">The following year, </w:t>
      </w:r>
      <w:r w:rsidRPr="00956EDA">
        <w:rPr>
          <w:rFonts w:cstheme="minorHAnsi"/>
        </w:rPr>
        <w:t>masters-level programs in teaching areas that had not previously be</w:t>
      </w:r>
      <w:r w:rsidR="00152BF5" w:rsidRPr="00956EDA">
        <w:rPr>
          <w:rFonts w:cstheme="minorHAnsi"/>
        </w:rPr>
        <w:t>en approved were submitted for S</w:t>
      </w:r>
      <w:r w:rsidRPr="00956EDA">
        <w:rPr>
          <w:rFonts w:cstheme="minorHAnsi"/>
        </w:rPr>
        <w:t xml:space="preserve">tate review. </w:t>
      </w:r>
      <w:r w:rsidR="00FA6185" w:rsidRPr="00956EDA">
        <w:rPr>
          <w:rFonts w:cstheme="minorHAnsi"/>
        </w:rPr>
        <w:t xml:space="preserve">Programs that were not required to undergo revision, such as School Counseling, School </w:t>
      </w:r>
      <w:r w:rsidR="00FA6185" w:rsidRPr="00956EDA">
        <w:rPr>
          <w:rFonts w:cstheme="minorHAnsi"/>
        </w:rPr>
        <w:lastRenderedPageBreak/>
        <w:t>Social Work and School Media, nonetheless reviewed and changed their programs in alignment with discipline standards. All of the revised programs have been implemented.</w:t>
      </w:r>
    </w:p>
    <w:p w14:paraId="1AF563B5" w14:textId="77777777" w:rsidR="00F16C57" w:rsidRPr="00956EDA" w:rsidRDefault="005935DA" w:rsidP="00770A56">
      <w:pPr>
        <w:shd w:val="clear" w:color="auto" w:fill="FFFFFF" w:themeFill="background1"/>
        <w:rPr>
          <w:rFonts w:cstheme="minorHAnsi"/>
        </w:rPr>
      </w:pPr>
      <w:r w:rsidRPr="00956EDA">
        <w:rPr>
          <w:rFonts w:cstheme="minorHAnsi"/>
        </w:rPr>
        <w:t xml:space="preserve">While UNCG already had a rich history of </w:t>
      </w:r>
      <w:r w:rsidR="00682A1B" w:rsidRPr="00956EDA">
        <w:rPr>
          <w:rFonts w:cstheme="minorHAnsi"/>
        </w:rPr>
        <w:t xml:space="preserve">self-study, the State </w:t>
      </w:r>
      <w:r w:rsidRPr="00956EDA">
        <w:rPr>
          <w:rFonts w:cstheme="minorHAnsi"/>
        </w:rPr>
        <w:t>mandate provided additional impetus for deep reflection at the Unit and program levels</w:t>
      </w:r>
      <w:r w:rsidR="003E2962" w:rsidRPr="00956EDA">
        <w:rPr>
          <w:rFonts w:cstheme="minorHAnsi"/>
        </w:rPr>
        <w:t xml:space="preserve"> and </w:t>
      </w:r>
      <w:r w:rsidR="001258A4" w:rsidRPr="00956EDA">
        <w:rPr>
          <w:rFonts w:cstheme="minorHAnsi"/>
        </w:rPr>
        <w:t xml:space="preserve">was </w:t>
      </w:r>
      <w:r w:rsidR="003E2962" w:rsidRPr="00956EDA">
        <w:rPr>
          <w:rFonts w:cstheme="minorHAnsi"/>
        </w:rPr>
        <w:t xml:space="preserve">one of several major impetuses for review of the conceptual framework. </w:t>
      </w:r>
    </w:p>
    <w:p w14:paraId="52FEE55A" w14:textId="77777777" w:rsidR="005935DA" w:rsidRPr="00956EDA" w:rsidRDefault="005935DA" w:rsidP="00697AEF">
      <w:pPr>
        <w:rPr>
          <w:rFonts w:cstheme="minorHAnsi"/>
          <w:b/>
        </w:rPr>
      </w:pPr>
      <w:r w:rsidRPr="00956EDA">
        <w:rPr>
          <w:rFonts w:cstheme="minorHAnsi"/>
          <w:b/>
        </w:rPr>
        <w:t>School of Education: New Organizational Structure</w:t>
      </w:r>
    </w:p>
    <w:p w14:paraId="17B19C4B" w14:textId="77777777" w:rsidR="00827711" w:rsidRPr="00956EDA" w:rsidRDefault="00DC7420" w:rsidP="00697AEF">
      <w:pPr>
        <w:rPr>
          <w:rFonts w:cstheme="minorHAnsi"/>
        </w:rPr>
      </w:pPr>
      <w:r w:rsidRPr="00956EDA">
        <w:rPr>
          <w:rFonts w:cstheme="minorHAnsi"/>
        </w:rPr>
        <w:t>In</w:t>
      </w:r>
      <w:r w:rsidR="005E1366" w:rsidRPr="00956EDA">
        <w:rPr>
          <w:rFonts w:cstheme="minorHAnsi"/>
        </w:rPr>
        <w:t xml:space="preserve"> </w:t>
      </w:r>
      <w:r w:rsidR="00F16C57" w:rsidRPr="00956EDA">
        <w:rPr>
          <w:rFonts w:cstheme="minorHAnsi"/>
        </w:rPr>
        <w:t xml:space="preserve">January </w:t>
      </w:r>
      <w:r w:rsidR="005E1366" w:rsidRPr="00956EDA">
        <w:rPr>
          <w:rFonts w:cstheme="minorHAnsi"/>
        </w:rPr>
        <w:t>2011</w:t>
      </w:r>
      <w:r w:rsidR="00F16C57" w:rsidRPr="00956EDA">
        <w:rPr>
          <w:rFonts w:cstheme="minorHAnsi"/>
        </w:rPr>
        <w:t>, Dean Wixson joined the School of Education and directed that</w:t>
      </w:r>
      <w:r w:rsidRPr="00956EDA">
        <w:rPr>
          <w:rFonts w:cstheme="minorHAnsi"/>
        </w:rPr>
        <w:t xml:space="preserve"> </w:t>
      </w:r>
      <w:r w:rsidR="00DA33FE" w:rsidRPr="00956EDA">
        <w:rPr>
          <w:rFonts w:cstheme="minorHAnsi"/>
        </w:rPr>
        <w:t>the U</w:t>
      </w:r>
      <w:r w:rsidR="00F16C57" w:rsidRPr="00956EDA">
        <w:rPr>
          <w:rFonts w:cstheme="minorHAnsi"/>
        </w:rPr>
        <w:t>nit undertake</w:t>
      </w:r>
      <w:r w:rsidR="00827711" w:rsidRPr="00956EDA">
        <w:rPr>
          <w:rFonts w:cstheme="minorHAnsi"/>
        </w:rPr>
        <w:t xml:space="preserve"> a thorough descript</w:t>
      </w:r>
      <w:r w:rsidR="00F16C57" w:rsidRPr="00956EDA">
        <w:rPr>
          <w:rFonts w:cstheme="minorHAnsi"/>
        </w:rPr>
        <w:t>ion and analysis of its work</w:t>
      </w:r>
      <w:r w:rsidR="00212278" w:rsidRPr="00956EDA">
        <w:rPr>
          <w:rFonts w:cstheme="minorHAnsi"/>
        </w:rPr>
        <w:t xml:space="preserve"> (see Exhibits – surveys, faculty assembly minutes, faculty council minutes)</w:t>
      </w:r>
      <w:r w:rsidR="00827711" w:rsidRPr="00956EDA">
        <w:rPr>
          <w:rFonts w:cstheme="minorHAnsi"/>
        </w:rPr>
        <w:t xml:space="preserve">. </w:t>
      </w:r>
      <w:r w:rsidR="00F16C57" w:rsidRPr="00956EDA">
        <w:rPr>
          <w:rFonts w:cstheme="minorHAnsi"/>
        </w:rPr>
        <w:t xml:space="preserve">This self-study resulted in a number of organizational changes that </w:t>
      </w:r>
      <w:r w:rsidR="00EA1786" w:rsidRPr="00956EDA">
        <w:rPr>
          <w:rFonts w:cstheme="minorHAnsi"/>
        </w:rPr>
        <w:t>enhanced</w:t>
      </w:r>
      <w:r w:rsidR="00F16C57" w:rsidRPr="00956EDA">
        <w:rPr>
          <w:rFonts w:cstheme="minorHAnsi"/>
        </w:rPr>
        <w:t xml:space="preserve"> support of faculty, staff and students. </w:t>
      </w:r>
      <w:r w:rsidR="00C61D46" w:rsidRPr="00956EDA">
        <w:rPr>
          <w:rFonts w:cstheme="minorHAnsi"/>
        </w:rPr>
        <w:t>Th</w:t>
      </w:r>
      <w:r w:rsidR="004E322E" w:rsidRPr="00956EDA">
        <w:rPr>
          <w:rFonts w:cstheme="minorHAnsi"/>
        </w:rPr>
        <w:t xml:space="preserve">e portfolios of some administrators </w:t>
      </w:r>
      <w:r w:rsidR="00C61D46" w:rsidRPr="00956EDA">
        <w:rPr>
          <w:rFonts w:cstheme="minorHAnsi"/>
        </w:rPr>
        <w:t xml:space="preserve">were changed, with </w:t>
      </w:r>
      <w:r w:rsidR="00682A1B" w:rsidRPr="00956EDA">
        <w:rPr>
          <w:rFonts w:cstheme="minorHAnsi"/>
        </w:rPr>
        <w:t xml:space="preserve">a </w:t>
      </w:r>
      <w:r w:rsidR="00C61D46" w:rsidRPr="00956EDA">
        <w:rPr>
          <w:rFonts w:cstheme="minorHAnsi"/>
        </w:rPr>
        <w:t xml:space="preserve">new </w:t>
      </w:r>
      <w:r w:rsidR="004E322E" w:rsidRPr="00956EDA">
        <w:rPr>
          <w:rFonts w:cstheme="minorHAnsi"/>
        </w:rPr>
        <w:t>Associate Dean for Assessment and Research and Associate Dean for Academic Affairs and Student Services</w:t>
      </w:r>
      <w:r w:rsidR="004346B5" w:rsidRPr="00956EDA">
        <w:rPr>
          <w:rFonts w:cstheme="minorHAnsi"/>
        </w:rPr>
        <w:t>.</w:t>
      </w:r>
      <w:r w:rsidRPr="00956EDA">
        <w:rPr>
          <w:rFonts w:cstheme="minorHAnsi"/>
        </w:rPr>
        <w:t xml:space="preserve"> </w:t>
      </w:r>
      <w:r w:rsidR="00E2017B" w:rsidRPr="00956EDA">
        <w:rPr>
          <w:rFonts w:cstheme="minorHAnsi"/>
        </w:rPr>
        <w:t xml:space="preserve">The Dean appointed a new </w:t>
      </w:r>
      <w:r w:rsidRPr="00956EDA">
        <w:rPr>
          <w:rFonts w:cstheme="minorHAnsi"/>
        </w:rPr>
        <w:t xml:space="preserve">Director of the Teachers </w:t>
      </w:r>
      <w:r w:rsidR="00E2017B" w:rsidRPr="00956EDA">
        <w:rPr>
          <w:rFonts w:cstheme="minorHAnsi"/>
        </w:rPr>
        <w:t xml:space="preserve">Academy, Director of Assessment, Assistant Dean </w:t>
      </w:r>
      <w:r w:rsidRPr="00956EDA">
        <w:rPr>
          <w:rFonts w:cstheme="minorHAnsi"/>
        </w:rPr>
        <w:t xml:space="preserve">and several </w:t>
      </w:r>
      <w:r w:rsidR="00E2017B" w:rsidRPr="00956EDA">
        <w:rPr>
          <w:rFonts w:cstheme="minorHAnsi"/>
        </w:rPr>
        <w:t xml:space="preserve">department </w:t>
      </w:r>
      <w:r w:rsidRPr="00956EDA">
        <w:rPr>
          <w:rFonts w:cstheme="minorHAnsi"/>
        </w:rPr>
        <w:t xml:space="preserve">chairs. </w:t>
      </w:r>
      <w:r w:rsidR="00E2017B" w:rsidRPr="00956EDA">
        <w:rPr>
          <w:rFonts w:cstheme="minorHAnsi"/>
        </w:rPr>
        <w:t xml:space="preserve"> Moreover, all of the work related to advising, application processing and licensure moved to the new Office of Student Services</w:t>
      </w:r>
      <w:r w:rsidR="00152BF5" w:rsidRPr="00956EDA">
        <w:rPr>
          <w:rFonts w:cstheme="minorHAnsi"/>
        </w:rPr>
        <w:t>,</w:t>
      </w:r>
      <w:r w:rsidR="00E2017B" w:rsidRPr="00956EDA">
        <w:rPr>
          <w:rFonts w:cstheme="minorHAnsi"/>
        </w:rPr>
        <w:t xml:space="preserve"> and the Teachers Academy, previously responsible for many of these activities, retained its responsibilities for policy, communication across the Unit, and partnership with external stakeholders. </w:t>
      </w:r>
    </w:p>
    <w:p w14:paraId="13C5A09F" w14:textId="77777777" w:rsidR="00480A1E" w:rsidRPr="00956EDA" w:rsidRDefault="00E2017B" w:rsidP="00697AEF">
      <w:pPr>
        <w:rPr>
          <w:rFonts w:cstheme="minorHAnsi"/>
        </w:rPr>
      </w:pPr>
      <w:r w:rsidRPr="00956EDA">
        <w:rPr>
          <w:rFonts w:cstheme="minorHAnsi"/>
        </w:rPr>
        <w:t xml:space="preserve">At the same time, </w:t>
      </w:r>
      <w:r w:rsidR="005E1366" w:rsidRPr="00956EDA">
        <w:rPr>
          <w:rFonts w:cstheme="minorHAnsi"/>
        </w:rPr>
        <w:t>the Dean appointed a</w:t>
      </w:r>
      <w:r w:rsidR="00212278" w:rsidRPr="00956EDA">
        <w:rPr>
          <w:rFonts w:cstheme="minorHAnsi"/>
        </w:rPr>
        <w:t>n A</w:t>
      </w:r>
      <w:r w:rsidR="004346B5" w:rsidRPr="00956EDA">
        <w:rPr>
          <w:rFonts w:cstheme="minorHAnsi"/>
        </w:rPr>
        <w:t>ssessment</w:t>
      </w:r>
      <w:r w:rsidR="00212278" w:rsidRPr="00956EDA">
        <w:rPr>
          <w:rFonts w:cstheme="minorHAnsi"/>
        </w:rPr>
        <w:t xml:space="preserve"> C</w:t>
      </w:r>
      <w:r w:rsidR="005E1366" w:rsidRPr="00956EDA">
        <w:rPr>
          <w:rFonts w:cstheme="minorHAnsi"/>
        </w:rPr>
        <w:t xml:space="preserve">ommittee that undertook </w:t>
      </w:r>
      <w:r w:rsidRPr="00956EDA">
        <w:rPr>
          <w:rFonts w:cstheme="minorHAnsi"/>
        </w:rPr>
        <w:t>the</w:t>
      </w:r>
      <w:r w:rsidR="00DA33FE" w:rsidRPr="00956EDA">
        <w:rPr>
          <w:rFonts w:cstheme="minorHAnsi"/>
        </w:rPr>
        <w:t xml:space="preserve"> review of a</w:t>
      </w:r>
      <w:r w:rsidR="005E1366" w:rsidRPr="00956EDA">
        <w:rPr>
          <w:rFonts w:cstheme="minorHAnsi"/>
        </w:rPr>
        <w:t>ll aspects of the assessment system of th</w:t>
      </w:r>
      <w:r w:rsidR="00565F4B" w:rsidRPr="00956EDA">
        <w:rPr>
          <w:rFonts w:cstheme="minorHAnsi"/>
        </w:rPr>
        <w:t xml:space="preserve">e Unit and individual programs </w:t>
      </w:r>
      <w:r w:rsidR="00480A1E" w:rsidRPr="00956EDA">
        <w:rPr>
          <w:rFonts w:cstheme="minorHAnsi"/>
        </w:rPr>
        <w:t>in a multi-step process</w:t>
      </w:r>
      <w:r w:rsidR="00C80922" w:rsidRPr="00956EDA">
        <w:rPr>
          <w:rFonts w:cstheme="minorHAnsi"/>
        </w:rPr>
        <w:t xml:space="preserve"> </w:t>
      </w:r>
      <w:r w:rsidR="00212278" w:rsidRPr="00956EDA">
        <w:rPr>
          <w:rFonts w:cstheme="minorHAnsi"/>
        </w:rPr>
        <w:t>that included the identification of</w:t>
      </w:r>
      <w:r w:rsidR="00C80922" w:rsidRPr="00956EDA">
        <w:rPr>
          <w:rFonts w:cstheme="minorHAnsi"/>
        </w:rPr>
        <w:t xml:space="preserve"> 1) </w:t>
      </w:r>
      <w:r w:rsidR="00480A1E" w:rsidRPr="00956EDA">
        <w:rPr>
          <w:rFonts w:cstheme="minorHAnsi"/>
        </w:rPr>
        <w:t xml:space="preserve">the standards that programs address, starting </w:t>
      </w:r>
      <w:r w:rsidR="001258A4" w:rsidRPr="00956EDA">
        <w:rPr>
          <w:rFonts w:cstheme="minorHAnsi"/>
        </w:rPr>
        <w:t xml:space="preserve">with </w:t>
      </w:r>
      <w:r w:rsidR="00480A1E" w:rsidRPr="00956EDA">
        <w:rPr>
          <w:rFonts w:cstheme="minorHAnsi"/>
        </w:rPr>
        <w:t>the North Carolina Professional Teaching Standards, NCATE and CAEP standards, and the North Carolina Race to the Top report card guidelines (see Exhibit-Standards Crosswa</w:t>
      </w:r>
      <w:r w:rsidR="00C80922" w:rsidRPr="00956EDA">
        <w:rPr>
          <w:rFonts w:cstheme="minorHAnsi"/>
        </w:rPr>
        <w:t xml:space="preserve">lk); 2) </w:t>
      </w:r>
      <w:r w:rsidR="00480A1E" w:rsidRPr="00956EDA">
        <w:rPr>
          <w:rFonts w:cstheme="minorHAnsi"/>
        </w:rPr>
        <w:t xml:space="preserve"> </w:t>
      </w:r>
      <w:r w:rsidR="00C80922" w:rsidRPr="00956EDA">
        <w:rPr>
          <w:rFonts w:cstheme="minorHAnsi"/>
        </w:rPr>
        <w:t xml:space="preserve">the </w:t>
      </w:r>
      <w:r w:rsidR="00480A1E" w:rsidRPr="00956EDA">
        <w:rPr>
          <w:rFonts w:cstheme="minorHAnsi"/>
        </w:rPr>
        <w:t>assessment</w:t>
      </w:r>
      <w:r w:rsidR="00B10CE0" w:rsidRPr="00956EDA">
        <w:rPr>
          <w:rFonts w:cstheme="minorHAnsi"/>
        </w:rPr>
        <w:t xml:space="preserve">s </w:t>
      </w:r>
      <w:r w:rsidR="00480A1E" w:rsidRPr="00956EDA">
        <w:rPr>
          <w:rFonts w:cstheme="minorHAnsi"/>
        </w:rPr>
        <w:t xml:space="preserve">that </w:t>
      </w:r>
      <w:r w:rsidR="00C80922" w:rsidRPr="00956EDA">
        <w:rPr>
          <w:rFonts w:cstheme="minorHAnsi"/>
        </w:rPr>
        <w:t>the Unit</w:t>
      </w:r>
      <w:r w:rsidR="00480A1E" w:rsidRPr="00956EDA">
        <w:rPr>
          <w:rFonts w:cstheme="minorHAnsi"/>
        </w:rPr>
        <w:t xml:space="preserve"> </w:t>
      </w:r>
      <w:r w:rsidR="000A75B6" w:rsidRPr="00956EDA">
        <w:rPr>
          <w:rFonts w:cstheme="minorHAnsi"/>
        </w:rPr>
        <w:t>undertakes</w:t>
      </w:r>
      <w:r w:rsidR="00480A1E" w:rsidRPr="00956EDA">
        <w:rPr>
          <w:rFonts w:cstheme="minorHAnsi"/>
        </w:rPr>
        <w:t xml:space="preserve"> for internal program rev</w:t>
      </w:r>
      <w:r w:rsidR="00C80922" w:rsidRPr="00956EDA">
        <w:rPr>
          <w:rFonts w:cstheme="minorHAnsi"/>
        </w:rPr>
        <w:t>iew and external accountability</w:t>
      </w:r>
      <w:r w:rsidR="00A319BE" w:rsidRPr="00956EDA">
        <w:rPr>
          <w:rFonts w:cstheme="minorHAnsi"/>
        </w:rPr>
        <w:t>,</w:t>
      </w:r>
      <w:r w:rsidR="00C80922" w:rsidRPr="00956EDA">
        <w:rPr>
          <w:rFonts w:cstheme="minorHAnsi"/>
        </w:rPr>
        <w:t xml:space="preserve"> and</w:t>
      </w:r>
      <w:r w:rsidR="00480A1E" w:rsidRPr="00956EDA">
        <w:rPr>
          <w:rFonts w:cstheme="minorHAnsi"/>
        </w:rPr>
        <w:t xml:space="preserve"> all data sources that inform those </w:t>
      </w:r>
      <w:r w:rsidR="00B10CE0" w:rsidRPr="00956EDA">
        <w:rPr>
          <w:rFonts w:cstheme="minorHAnsi"/>
        </w:rPr>
        <w:t>assessments</w:t>
      </w:r>
      <w:r w:rsidR="00480A1E" w:rsidRPr="00956EDA">
        <w:rPr>
          <w:rFonts w:cstheme="minorHAnsi"/>
        </w:rPr>
        <w:t xml:space="preserve"> (see Exhibit-</w:t>
      </w:r>
      <w:r w:rsidR="00664EDB" w:rsidRPr="00956EDA">
        <w:rPr>
          <w:rFonts w:cstheme="minorHAnsi"/>
        </w:rPr>
        <w:t xml:space="preserve"> </w:t>
      </w:r>
      <w:r w:rsidR="00C80922" w:rsidRPr="00956EDA">
        <w:rPr>
          <w:rFonts w:cstheme="minorHAnsi"/>
        </w:rPr>
        <w:t>Report List, Report List Summary); and 3) the intersection</w:t>
      </w:r>
      <w:r w:rsidR="00CD331B" w:rsidRPr="00956EDA">
        <w:rPr>
          <w:rFonts w:cstheme="minorHAnsi"/>
        </w:rPr>
        <w:t>,</w:t>
      </w:r>
      <w:r w:rsidR="00C80922" w:rsidRPr="00956EDA">
        <w:rPr>
          <w:rFonts w:cstheme="minorHAnsi"/>
        </w:rPr>
        <w:t xml:space="preserve"> or crosswalk</w:t>
      </w:r>
      <w:r w:rsidR="00CD331B" w:rsidRPr="00956EDA">
        <w:rPr>
          <w:rFonts w:cstheme="minorHAnsi"/>
        </w:rPr>
        <w:t>,</w:t>
      </w:r>
      <w:r w:rsidR="00C80922" w:rsidRPr="00956EDA">
        <w:rPr>
          <w:rFonts w:cstheme="minorHAnsi"/>
        </w:rPr>
        <w:t xml:space="preserve"> of the standards</w:t>
      </w:r>
      <w:r w:rsidR="00B10CE0" w:rsidRPr="00956EDA">
        <w:rPr>
          <w:rFonts w:cstheme="minorHAnsi"/>
        </w:rPr>
        <w:t xml:space="preserve">, assessments </w:t>
      </w:r>
      <w:r w:rsidR="00C80922" w:rsidRPr="00956EDA">
        <w:rPr>
          <w:rFonts w:cstheme="minorHAnsi"/>
        </w:rPr>
        <w:t>and data sources. Standards for non-teaching areas were subsequently inc</w:t>
      </w:r>
      <w:r w:rsidR="00212278" w:rsidRPr="00956EDA">
        <w:rPr>
          <w:rFonts w:cstheme="minorHAnsi"/>
        </w:rPr>
        <w:t>l</w:t>
      </w:r>
      <w:r w:rsidR="00CD331B" w:rsidRPr="00956EDA">
        <w:rPr>
          <w:rFonts w:cstheme="minorHAnsi"/>
        </w:rPr>
        <w:t xml:space="preserve">uded in the crosswalk analyses </w:t>
      </w:r>
      <w:r w:rsidR="00B10CE0" w:rsidRPr="00956EDA">
        <w:rPr>
          <w:rFonts w:cstheme="minorHAnsi"/>
        </w:rPr>
        <w:t>so that</w:t>
      </w:r>
      <w:r w:rsidR="00CD331B" w:rsidRPr="00956EDA">
        <w:rPr>
          <w:rFonts w:cstheme="minorHAnsi"/>
        </w:rPr>
        <w:t>, u</w:t>
      </w:r>
      <w:r w:rsidR="00212278" w:rsidRPr="00956EDA">
        <w:rPr>
          <w:rFonts w:cstheme="minorHAnsi"/>
        </w:rPr>
        <w:t>ltimately, all programs participated in this review process (see Exhibits: minutes from Program Assessment Meetings).</w:t>
      </w:r>
    </w:p>
    <w:p w14:paraId="1FAFB028" w14:textId="03556323" w:rsidR="00232EF6" w:rsidRPr="00956EDA" w:rsidRDefault="00C9410B" w:rsidP="00697AEF">
      <w:pPr>
        <w:rPr>
          <w:rFonts w:cstheme="minorHAnsi"/>
        </w:rPr>
      </w:pPr>
      <w:r w:rsidRPr="00956EDA">
        <w:rPr>
          <w:rFonts w:cstheme="minorHAnsi"/>
        </w:rPr>
        <w:t>I</w:t>
      </w:r>
      <w:r w:rsidR="00E2017B" w:rsidRPr="00956EDA">
        <w:rPr>
          <w:rFonts w:cstheme="minorHAnsi"/>
        </w:rPr>
        <w:t xml:space="preserve">t became clear to the </w:t>
      </w:r>
      <w:r w:rsidR="00212278" w:rsidRPr="00956EDA">
        <w:rPr>
          <w:rFonts w:cstheme="minorHAnsi"/>
        </w:rPr>
        <w:t>A</w:t>
      </w:r>
      <w:r w:rsidR="00480A1E" w:rsidRPr="00956EDA">
        <w:rPr>
          <w:rFonts w:cstheme="minorHAnsi"/>
        </w:rPr>
        <w:t xml:space="preserve">ssessment </w:t>
      </w:r>
      <w:r w:rsidR="00212278" w:rsidRPr="00956EDA">
        <w:rPr>
          <w:rFonts w:cstheme="minorHAnsi"/>
        </w:rPr>
        <w:t>C</w:t>
      </w:r>
      <w:r w:rsidR="00E2017B" w:rsidRPr="00956EDA">
        <w:rPr>
          <w:rFonts w:cstheme="minorHAnsi"/>
        </w:rPr>
        <w:t xml:space="preserve">ommittee that, while a strong assessment system was in place, it would benefit </w:t>
      </w:r>
      <w:r w:rsidRPr="00956EDA">
        <w:rPr>
          <w:rFonts w:cstheme="minorHAnsi"/>
        </w:rPr>
        <w:t>from a clear and consistent description of its</w:t>
      </w:r>
      <w:r w:rsidR="00232EF6" w:rsidRPr="00956EDA">
        <w:rPr>
          <w:rFonts w:cstheme="minorHAnsi"/>
        </w:rPr>
        <w:t xml:space="preserve"> structure.</w:t>
      </w:r>
      <w:r w:rsidRPr="00956EDA">
        <w:rPr>
          <w:rFonts w:cstheme="minorHAnsi"/>
        </w:rPr>
        <w:t xml:space="preserve"> The close review of </w:t>
      </w:r>
      <w:r w:rsidR="00212278" w:rsidRPr="00956EDA">
        <w:rPr>
          <w:rFonts w:cstheme="minorHAnsi"/>
        </w:rPr>
        <w:t xml:space="preserve">the intersection of </w:t>
      </w:r>
      <w:r w:rsidRPr="00956EDA">
        <w:rPr>
          <w:rFonts w:cstheme="minorHAnsi"/>
        </w:rPr>
        <w:t xml:space="preserve">standards, </w:t>
      </w:r>
      <w:r w:rsidR="00B10CE0" w:rsidRPr="00956EDA">
        <w:rPr>
          <w:rFonts w:cstheme="minorHAnsi"/>
        </w:rPr>
        <w:t xml:space="preserve">assessments and </w:t>
      </w:r>
      <w:r w:rsidRPr="00956EDA">
        <w:rPr>
          <w:rFonts w:cstheme="minorHAnsi"/>
        </w:rPr>
        <w:t xml:space="preserve">data </w:t>
      </w:r>
      <w:r w:rsidR="00B10CE0" w:rsidRPr="00956EDA">
        <w:rPr>
          <w:rFonts w:cstheme="minorHAnsi"/>
        </w:rPr>
        <w:t>sources</w:t>
      </w:r>
      <w:r w:rsidRPr="00956EDA">
        <w:rPr>
          <w:rFonts w:cstheme="minorHAnsi"/>
        </w:rPr>
        <w:t xml:space="preserve"> led to</w:t>
      </w:r>
      <w:r w:rsidR="009F4119" w:rsidRPr="00956EDA">
        <w:rPr>
          <w:rFonts w:cstheme="minorHAnsi"/>
        </w:rPr>
        <w:t xml:space="preserve"> the identification of six foci – b</w:t>
      </w:r>
      <w:r w:rsidRPr="00956EDA">
        <w:rPr>
          <w:rFonts w:cstheme="minorHAnsi"/>
        </w:rPr>
        <w:t xml:space="preserve">road areas that inform expectations for student outcomes and therefore areas that require continual assessment. They are </w:t>
      </w:r>
      <w:r w:rsidR="00212278" w:rsidRPr="00956EDA">
        <w:rPr>
          <w:rFonts w:cstheme="minorHAnsi"/>
        </w:rPr>
        <w:t xml:space="preserve">leadership, professional </w:t>
      </w:r>
      <w:r w:rsidR="005E1366" w:rsidRPr="00956EDA">
        <w:rPr>
          <w:rFonts w:cstheme="minorHAnsi"/>
        </w:rPr>
        <w:t>knowledge, professional p</w:t>
      </w:r>
      <w:r w:rsidR="00DA33FE" w:rsidRPr="00956EDA">
        <w:rPr>
          <w:rFonts w:cstheme="minorHAnsi"/>
        </w:rPr>
        <w:t xml:space="preserve">ractice and pedagogy, </w:t>
      </w:r>
      <w:r w:rsidR="00EA1786" w:rsidRPr="00956EDA">
        <w:rPr>
          <w:rFonts w:cstheme="minorHAnsi"/>
        </w:rPr>
        <w:t xml:space="preserve">educational </w:t>
      </w:r>
      <w:r w:rsidR="005E1366" w:rsidRPr="00956EDA">
        <w:rPr>
          <w:rFonts w:cstheme="minorHAnsi"/>
        </w:rPr>
        <w:t xml:space="preserve">environment, </w:t>
      </w:r>
      <w:r w:rsidR="00B10CE0" w:rsidRPr="00956EDA">
        <w:rPr>
          <w:rFonts w:cstheme="minorHAnsi"/>
        </w:rPr>
        <w:t>data-driven decision making</w:t>
      </w:r>
      <w:r w:rsidR="005E1366" w:rsidRPr="00956EDA">
        <w:rPr>
          <w:rFonts w:cstheme="minorHAnsi"/>
        </w:rPr>
        <w:t xml:space="preserve"> and professional gr</w:t>
      </w:r>
      <w:r w:rsidR="00212278" w:rsidRPr="00956EDA">
        <w:rPr>
          <w:rFonts w:cstheme="minorHAnsi"/>
        </w:rPr>
        <w:t>owth. In order to ensure continual and consistent self-study, a</w:t>
      </w:r>
      <w:r w:rsidR="00E2017B" w:rsidRPr="00956EDA">
        <w:rPr>
          <w:rFonts w:cstheme="minorHAnsi"/>
        </w:rPr>
        <w:t>ssessment</w:t>
      </w:r>
      <w:r w:rsidR="005E1366" w:rsidRPr="00956EDA">
        <w:rPr>
          <w:rFonts w:cstheme="minorHAnsi"/>
        </w:rPr>
        <w:t xml:space="preserve"> questions for each </w:t>
      </w:r>
      <w:r w:rsidR="00212278" w:rsidRPr="00956EDA">
        <w:rPr>
          <w:rFonts w:cstheme="minorHAnsi"/>
        </w:rPr>
        <w:t>focus area</w:t>
      </w:r>
      <w:r w:rsidR="00271647" w:rsidRPr="00956EDA">
        <w:rPr>
          <w:rFonts w:cstheme="minorHAnsi"/>
        </w:rPr>
        <w:t xml:space="preserve"> were identified. They addressed</w:t>
      </w:r>
      <w:r w:rsidR="005E1366" w:rsidRPr="00956EDA">
        <w:rPr>
          <w:rFonts w:cstheme="minorHAnsi"/>
        </w:rPr>
        <w:t xml:space="preserve"> </w:t>
      </w:r>
      <w:r w:rsidR="00271647" w:rsidRPr="00956EDA">
        <w:rPr>
          <w:rFonts w:cstheme="minorHAnsi"/>
        </w:rPr>
        <w:t xml:space="preserve">how well students met the </w:t>
      </w:r>
      <w:r w:rsidR="00B10CE0" w:rsidRPr="00956EDA">
        <w:rPr>
          <w:rFonts w:cstheme="minorHAnsi"/>
        </w:rPr>
        <w:t xml:space="preserve">expectations of each focus area </w:t>
      </w:r>
      <w:r w:rsidR="00271647" w:rsidRPr="00956EDA">
        <w:rPr>
          <w:rFonts w:cstheme="minorHAnsi"/>
        </w:rPr>
        <w:t>and how well students’ development in each area w</w:t>
      </w:r>
      <w:r w:rsidR="00956AB3" w:rsidRPr="00956EDA">
        <w:rPr>
          <w:rFonts w:cstheme="minorHAnsi"/>
        </w:rPr>
        <w:t>as supported by their programs</w:t>
      </w:r>
      <w:r w:rsidR="00B10CE0" w:rsidRPr="00956EDA">
        <w:rPr>
          <w:rFonts w:cstheme="minorHAnsi"/>
        </w:rPr>
        <w:t>; that is, they addressed candidate outcomes and structural support</w:t>
      </w:r>
      <w:r w:rsidR="00956AB3" w:rsidRPr="00956EDA">
        <w:rPr>
          <w:rFonts w:cstheme="minorHAnsi"/>
        </w:rPr>
        <w:t xml:space="preserve"> </w:t>
      </w:r>
      <w:r w:rsidR="00271647" w:rsidRPr="00956EDA">
        <w:rPr>
          <w:rFonts w:cstheme="minorHAnsi"/>
        </w:rPr>
        <w:t>(see Exhibit: Questions and Data Sources)</w:t>
      </w:r>
      <w:r w:rsidR="005E1366" w:rsidRPr="00956EDA">
        <w:rPr>
          <w:rFonts w:cstheme="minorHAnsi"/>
        </w:rPr>
        <w:t xml:space="preserve">. </w:t>
      </w:r>
      <w:r w:rsidR="00271647" w:rsidRPr="00956EDA">
        <w:rPr>
          <w:rFonts w:cstheme="minorHAnsi"/>
        </w:rPr>
        <w:t>The foci and assessment questions are consistent across all programs. While programs were encouraged to adapt them as appropriate, the overall structure of the focus area</w:t>
      </w:r>
      <w:r w:rsidR="00B10CE0" w:rsidRPr="00956EDA">
        <w:rPr>
          <w:rFonts w:cstheme="minorHAnsi"/>
        </w:rPr>
        <w:t>s</w:t>
      </w:r>
      <w:r w:rsidR="00271647" w:rsidRPr="00956EDA">
        <w:rPr>
          <w:rFonts w:cstheme="minorHAnsi"/>
        </w:rPr>
        <w:t xml:space="preserve"> and the assessment questions were found to be appropriate for all teaching and non-</w:t>
      </w:r>
      <w:r w:rsidR="00271647" w:rsidRPr="00956EDA">
        <w:rPr>
          <w:rFonts w:cstheme="minorHAnsi"/>
        </w:rPr>
        <w:lastRenderedPageBreak/>
        <w:t>teaching areas, with few modifications (see Exhibits: Program Questions and Data Sources).</w:t>
      </w:r>
      <w:r w:rsidR="004D6179" w:rsidRPr="00956EDA">
        <w:rPr>
          <w:rFonts w:cstheme="minorHAnsi"/>
        </w:rPr>
        <w:t xml:space="preserve"> All programs now use student portfolios, field observations, disposition assessments</w:t>
      </w:r>
      <w:r w:rsidR="00565F4B" w:rsidRPr="00956EDA">
        <w:rPr>
          <w:rFonts w:cstheme="minorHAnsi"/>
        </w:rPr>
        <w:t>,</w:t>
      </w:r>
      <w:r w:rsidR="004D6179" w:rsidRPr="00956EDA">
        <w:rPr>
          <w:rFonts w:cstheme="minorHAnsi"/>
        </w:rPr>
        <w:t xml:space="preserve"> and surveys of stakeholders </w:t>
      </w:r>
      <w:r w:rsidR="00565F4B" w:rsidRPr="00956EDA">
        <w:rPr>
          <w:rFonts w:cstheme="minorHAnsi"/>
        </w:rPr>
        <w:t>to gather</w:t>
      </w:r>
      <w:r w:rsidR="004D6179" w:rsidRPr="00956EDA">
        <w:rPr>
          <w:rFonts w:cstheme="minorHAnsi"/>
        </w:rPr>
        <w:t xml:space="preserve"> quantitative and qualitative data for continual self-study </w:t>
      </w:r>
      <w:r w:rsidR="00565F4B" w:rsidRPr="00956EDA">
        <w:rPr>
          <w:rFonts w:cstheme="minorHAnsi"/>
        </w:rPr>
        <w:t>that is responsive to</w:t>
      </w:r>
      <w:r w:rsidR="004D6179" w:rsidRPr="00956EDA">
        <w:rPr>
          <w:rFonts w:cstheme="minorHAnsi"/>
        </w:rPr>
        <w:t xml:space="preserve"> the focus area questions.</w:t>
      </w:r>
    </w:p>
    <w:p w14:paraId="3205B172" w14:textId="77777777" w:rsidR="005E1366" w:rsidRPr="00956EDA" w:rsidRDefault="005E1366" w:rsidP="00697AEF">
      <w:pPr>
        <w:rPr>
          <w:rFonts w:cstheme="minorHAnsi"/>
        </w:rPr>
      </w:pPr>
      <w:r w:rsidRPr="00956EDA">
        <w:rPr>
          <w:rFonts w:cstheme="minorHAnsi"/>
        </w:rPr>
        <w:t xml:space="preserve">While the new foci were not fundamentally different from earlier </w:t>
      </w:r>
      <w:r w:rsidR="002D213F" w:rsidRPr="00956EDA">
        <w:rPr>
          <w:rFonts w:cstheme="minorHAnsi"/>
        </w:rPr>
        <w:t xml:space="preserve">perspectives, they incorporated new ways of approaching and assessing professional education. </w:t>
      </w:r>
      <w:r w:rsidR="00D03FAB" w:rsidRPr="00956EDA">
        <w:rPr>
          <w:rFonts w:cstheme="minorHAnsi"/>
        </w:rPr>
        <w:t xml:space="preserve">As with earlier </w:t>
      </w:r>
      <w:r w:rsidR="00827711" w:rsidRPr="00956EDA">
        <w:rPr>
          <w:rFonts w:cstheme="minorHAnsi"/>
        </w:rPr>
        <w:t>conceptual f</w:t>
      </w:r>
      <w:r w:rsidR="00D03FAB" w:rsidRPr="00956EDA">
        <w:rPr>
          <w:rFonts w:cstheme="minorHAnsi"/>
        </w:rPr>
        <w:t xml:space="preserve">rameworks, they </w:t>
      </w:r>
      <w:r w:rsidR="00E2017B" w:rsidRPr="00956EDA">
        <w:rPr>
          <w:rFonts w:cstheme="minorHAnsi"/>
        </w:rPr>
        <w:t xml:space="preserve">were affirming of knowledge and pedagogy based </w:t>
      </w:r>
      <w:r w:rsidR="004346B5" w:rsidRPr="00956EDA">
        <w:rPr>
          <w:rFonts w:cstheme="minorHAnsi"/>
        </w:rPr>
        <w:t>in</w:t>
      </w:r>
      <w:r w:rsidR="00E2017B" w:rsidRPr="00956EDA">
        <w:rPr>
          <w:rFonts w:cstheme="minorHAnsi"/>
        </w:rPr>
        <w:t xml:space="preserve"> research</w:t>
      </w:r>
      <w:r w:rsidR="00D03FAB" w:rsidRPr="00956EDA">
        <w:rPr>
          <w:rFonts w:cstheme="minorHAnsi"/>
        </w:rPr>
        <w:t xml:space="preserve">; </w:t>
      </w:r>
      <w:r w:rsidR="00E2017B" w:rsidRPr="00956EDA">
        <w:rPr>
          <w:rFonts w:cstheme="minorHAnsi"/>
        </w:rPr>
        <w:t>consistency across programs</w:t>
      </w:r>
      <w:r w:rsidR="00D03FAB" w:rsidRPr="00956EDA">
        <w:rPr>
          <w:rFonts w:cstheme="minorHAnsi"/>
        </w:rPr>
        <w:t>, the Unit and the University; and alignment with State and national standards. However, t</w:t>
      </w:r>
      <w:r w:rsidR="002D213F" w:rsidRPr="00956EDA">
        <w:rPr>
          <w:rFonts w:cstheme="minorHAnsi"/>
        </w:rPr>
        <w:t xml:space="preserve">hey were more </w:t>
      </w:r>
      <w:r w:rsidR="00565F4B" w:rsidRPr="00956EDA">
        <w:rPr>
          <w:rFonts w:cstheme="minorHAnsi"/>
        </w:rPr>
        <w:t>closely connected to</w:t>
      </w:r>
      <w:r w:rsidR="002D213F" w:rsidRPr="00956EDA">
        <w:rPr>
          <w:rFonts w:cstheme="minorHAnsi"/>
        </w:rPr>
        <w:t xml:space="preserve"> 21</w:t>
      </w:r>
      <w:r w:rsidR="002D213F" w:rsidRPr="00956EDA">
        <w:rPr>
          <w:rFonts w:cstheme="minorHAnsi"/>
          <w:vertAlign w:val="superscript"/>
        </w:rPr>
        <w:t>st</w:t>
      </w:r>
      <w:r w:rsidR="002D213F" w:rsidRPr="00956EDA">
        <w:rPr>
          <w:rFonts w:cstheme="minorHAnsi"/>
        </w:rPr>
        <w:t xml:space="preserve"> century </w:t>
      </w:r>
      <w:r w:rsidR="002D213F" w:rsidRPr="00956EDA">
        <w:rPr>
          <w:rFonts w:cstheme="minorHAnsi"/>
          <w:b/>
        </w:rPr>
        <w:t>realities</w:t>
      </w:r>
      <w:r w:rsidR="002D213F" w:rsidRPr="00956EDA">
        <w:rPr>
          <w:rFonts w:cstheme="minorHAnsi"/>
        </w:rPr>
        <w:t xml:space="preserve">, not the least of which was the need for greater attention to knowledge and practice related to diversity, technology, higher order thinking and leadership. </w:t>
      </w:r>
      <w:r w:rsidR="00E434BD" w:rsidRPr="00956EDA">
        <w:rPr>
          <w:rFonts w:cstheme="minorHAnsi"/>
        </w:rPr>
        <w:t>This</w:t>
      </w:r>
      <w:r w:rsidR="002D213F" w:rsidRPr="00956EDA">
        <w:rPr>
          <w:rFonts w:cstheme="minorHAnsi"/>
        </w:rPr>
        <w:t xml:space="preserve"> shift was important if UNCG was to prepare its candidates and B-12 students for college, career and life. </w:t>
      </w:r>
      <w:r w:rsidR="003E2962" w:rsidRPr="00956EDA">
        <w:rPr>
          <w:rFonts w:cstheme="minorHAnsi"/>
        </w:rPr>
        <w:t xml:space="preserve">With this shift, then, came additional impetus </w:t>
      </w:r>
      <w:r w:rsidR="002D213F" w:rsidRPr="00956EDA">
        <w:rPr>
          <w:rFonts w:cstheme="minorHAnsi"/>
        </w:rPr>
        <w:t>for new study of the UNCG’s conceptual framework.</w:t>
      </w:r>
    </w:p>
    <w:p w14:paraId="1F751DC2" w14:textId="77777777" w:rsidR="002D213F" w:rsidRPr="00956EDA" w:rsidRDefault="002D213F" w:rsidP="00697AEF">
      <w:pPr>
        <w:rPr>
          <w:rFonts w:cstheme="minorHAnsi"/>
        </w:rPr>
      </w:pPr>
      <w:r w:rsidRPr="00956EDA">
        <w:rPr>
          <w:rFonts w:cstheme="minorHAnsi"/>
        </w:rPr>
        <w:t>In fall 2011, a sub</w:t>
      </w:r>
      <w:r w:rsidR="00F50ECD" w:rsidRPr="00956EDA">
        <w:rPr>
          <w:rFonts w:cstheme="minorHAnsi"/>
        </w:rPr>
        <w:t xml:space="preserve">committee of faculty and staff </w:t>
      </w:r>
      <w:r w:rsidRPr="00956EDA">
        <w:rPr>
          <w:rFonts w:cstheme="minorHAnsi"/>
        </w:rPr>
        <w:t xml:space="preserve">developed draft statements to guide </w:t>
      </w:r>
      <w:r w:rsidR="00F50ECD" w:rsidRPr="00956EDA">
        <w:rPr>
          <w:rFonts w:cstheme="minorHAnsi"/>
        </w:rPr>
        <w:t xml:space="preserve">the </w:t>
      </w:r>
      <w:r w:rsidRPr="00956EDA">
        <w:rPr>
          <w:rFonts w:cstheme="minorHAnsi"/>
        </w:rPr>
        <w:t xml:space="preserve">study </w:t>
      </w:r>
      <w:r w:rsidR="00F50ECD" w:rsidRPr="00956EDA">
        <w:rPr>
          <w:rFonts w:cstheme="minorHAnsi"/>
        </w:rPr>
        <w:t>of</w:t>
      </w:r>
      <w:r w:rsidRPr="00956EDA">
        <w:rPr>
          <w:rFonts w:cstheme="minorHAnsi"/>
        </w:rPr>
        <w:t xml:space="preserve"> the </w:t>
      </w:r>
      <w:r w:rsidR="00827711" w:rsidRPr="00956EDA">
        <w:rPr>
          <w:rFonts w:cstheme="minorHAnsi"/>
        </w:rPr>
        <w:t>conceptual framework</w:t>
      </w:r>
      <w:r w:rsidRPr="00956EDA">
        <w:rPr>
          <w:rFonts w:cstheme="minorHAnsi"/>
        </w:rPr>
        <w:t xml:space="preserve">. The mission statements of </w:t>
      </w:r>
      <w:r w:rsidR="004346B5" w:rsidRPr="00956EDA">
        <w:rPr>
          <w:rFonts w:cstheme="minorHAnsi"/>
        </w:rPr>
        <w:t xml:space="preserve">the </w:t>
      </w:r>
      <w:r w:rsidR="00F50ECD" w:rsidRPr="00956EDA">
        <w:rPr>
          <w:rFonts w:cstheme="minorHAnsi"/>
        </w:rPr>
        <w:t>University</w:t>
      </w:r>
      <w:r w:rsidR="000D5389" w:rsidRPr="00956EDA">
        <w:rPr>
          <w:rFonts w:cstheme="minorHAnsi"/>
        </w:rPr>
        <w:t xml:space="preserve">, the Teachers Academy </w:t>
      </w:r>
      <w:r w:rsidR="00A93961" w:rsidRPr="00956EDA">
        <w:rPr>
          <w:rFonts w:cstheme="minorHAnsi"/>
        </w:rPr>
        <w:t xml:space="preserve">(the policy and governance body for all professional education programs) </w:t>
      </w:r>
      <w:r w:rsidR="003152A7" w:rsidRPr="00956EDA">
        <w:rPr>
          <w:rFonts w:cstheme="minorHAnsi"/>
        </w:rPr>
        <w:t xml:space="preserve">and </w:t>
      </w:r>
      <w:r w:rsidRPr="00956EDA">
        <w:rPr>
          <w:rFonts w:cstheme="minorHAnsi"/>
        </w:rPr>
        <w:t xml:space="preserve">departments </w:t>
      </w:r>
      <w:r w:rsidR="00F50ECD" w:rsidRPr="00956EDA">
        <w:rPr>
          <w:rFonts w:cstheme="minorHAnsi"/>
        </w:rPr>
        <w:t>within the U</w:t>
      </w:r>
      <w:r w:rsidR="003152A7" w:rsidRPr="00956EDA">
        <w:rPr>
          <w:rFonts w:cstheme="minorHAnsi"/>
        </w:rPr>
        <w:t xml:space="preserve">nit </w:t>
      </w:r>
      <w:r w:rsidRPr="00956EDA">
        <w:rPr>
          <w:rFonts w:cstheme="minorHAnsi"/>
        </w:rPr>
        <w:t xml:space="preserve">were studied. Faculty reviewed the </w:t>
      </w:r>
      <w:r w:rsidR="003152A7" w:rsidRPr="00956EDA">
        <w:rPr>
          <w:rFonts w:cstheme="minorHAnsi"/>
        </w:rPr>
        <w:t xml:space="preserve">professional literature, as well as State and national standards. Finally, a subcommittee developed a draft conceptual framework that was consistent with the </w:t>
      </w:r>
      <w:r w:rsidR="00D03FAB" w:rsidRPr="00956EDA">
        <w:rPr>
          <w:rFonts w:cstheme="minorHAnsi"/>
        </w:rPr>
        <w:t>six foci</w:t>
      </w:r>
      <w:r w:rsidRPr="00956EDA">
        <w:rPr>
          <w:rFonts w:cstheme="minorHAnsi"/>
        </w:rPr>
        <w:t xml:space="preserve"> identified in the earlier </w:t>
      </w:r>
      <w:r w:rsidR="004346B5" w:rsidRPr="00956EDA">
        <w:rPr>
          <w:rFonts w:cstheme="minorHAnsi"/>
        </w:rPr>
        <w:t xml:space="preserve">assessment </w:t>
      </w:r>
      <w:r w:rsidR="00D03FAB" w:rsidRPr="00956EDA">
        <w:rPr>
          <w:rFonts w:cstheme="minorHAnsi"/>
        </w:rPr>
        <w:t>committee review</w:t>
      </w:r>
      <w:r w:rsidRPr="00956EDA">
        <w:rPr>
          <w:rFonts w:cstheme="minorHAnsi"/>
        </w:rPr>
        <w:t xml:space="preserve">. </w:t>
      </w:r>
      <w:r w:rsidR="003152A7" w:rsidRPr="00956EDA">
        <w:rPr>
          <w:rFonts w:cstheme="minorHAnsi"/>
        </w:rPr>
        <w:t>The draft</w:t>
      </w:r>
      <w:r w:rsidRPr="00956EDA">
        <w:rPr>
          <w:rFonts w:cstheme="minorHAnsi"/>
        </w:rPr>
        <w:t xml:space="preserve"> </w:t>
      </w:r>
      <w:r w:rsidR="00827711" w:rsidRPr="00956EDA">
        <w:rPr>
          <w:rFonts w:cstheme="minorHAnsi"/>
        </w:rPr>
        <w:t xml:space="preserve">conceptual framework </w:t>
      </w:r>
      <w:r w:rsidRPr="00956EDA">
        <w:rPr>
          <w:rFonts w:cstheme="minorHAnsi"/>
        </w:rPr>
        <w:t>was studied by the Council of Program Coordinators of the Teachers Academy, which includes representatives of all professional education programs at UNCG. Revisions followed and, in spring 2013, the newly developed Conceptual Framework was adopted by the Unit.</w:t>
      </w:r>
    </w:p>
    <w:p w14:paraId="6B036FEB" w14:textId="77777777" w:rsidR="002D213F" w:rsidRPr="00956EDA" w:rsidRDefault="002D213F" w:rsidP="00697AEF">
      <w:pPr>
        <w:rPr>
          <w:rFonts w:cstheme="minorHAnsi"/>
        </w:rPr>
      </w:pPr>
      <w:r w:rsidRPr="00956EDA">
        <w:rPr>
          <w:rFonts w:cstheme="minorHAnsi"/>
        </w:rPr>
        <w:t xml:space="preserve">While the text of the </w:t>
      </w:r>
      <w:r w:rsidR="004346B5" w:rsidRPr="00956EDA">
        <w:rPr>
          <w:rFonts w:cstheme="minorHAnsi"/>
        </w:rPr>
        <w:t xml:space="preserve">UNCG </w:t>
      </w:r>
      <w:r w:rsidRPr="00956EDA">
        <w:rPr>
          <w:rFonts w:cstheme="minorHAnsi"/>
        </w:rPr>
        <w:t>Conceptual Framework was adopted in 2013, the essence of the CF had been in place since self-study began</w:t>
      </w:r>
      <w:r w:rsidR="004346B5" w:rsidRPr="00956EDA">
        <w:rPr>
          <w:rFonts w:cstheme="minorHAnsi"/>
        </w:rPr>
        <w:t xml:space="preserve"> </w:t>
      </w:r>
      <w:r w:rsidR="007618EC" w:rsidRPr="00956EDA">
        <w:rPr>
          <w:rFonts w:cstheme="minorHAnsi"/>
        </w:rPr>
        <w:t xml:space="preserve">in </w:t>
      </w:r>
      <w:r w:rsidR="004346B5" w:rsidRPr="00956EDA">
        <w:rPr>
          <w:rFonts w:cstheme="minorHAnsi"/>
        </w:rPr>
        <w:t>2008</w:t>
      </w:r>
      <w:r w:rsidRPr="00956EDA">
        <w:rPr>
          <w:rFonts w:cstheme="minorHAnsi"/>
        </w:rPr>
        <w:t>, first with the revision of the programs and then, in 2011</w:t>
      </w:r>
      <w:r w:rsidR="004346B5" w:rsidRPr="00956EDA">
        <w:rPr>
          <w:rFonts w:cstheme="minorHAnsi"/>
        </w:rPr>
        <w:t xml:space="preserve">, </w:t>
      </w:r>
      <w:r w:rsidR="00271647" w:rsidRPr="00956EDA">
        <w:rPr>
          <w:rFonts w:cstheme="minorHAnsi"/>
        </w:rPr>
        <w:t>with the review and re-organization of the Unit</w:t>
      </w:r>
      <w:r w:rsidR="004D6179" w:rsidRPr="00956EDA">
        <w:rPr>
          <w:rFonts w:cstheme="minorHAnsi"/>
        </w:rPr>
        <w:t>,</w:t>
      </w:r>
      <w:r w:rsidR="00271647" w:rsidRPr="00956EDA">
        <w:rPr>
          <w:rFonts w:cstheme="minorHAnsi"/>
        </w:rPr>
        <w:t xml:space="preserve"> </w:t>
      </w:r>
      <w:r w:rsidR="004346B5" w:rsidRPr="00956EDA">
        <w:rPr>
          <w:rFonts w:cstheme="minorHAnsi"/>
        </w:rPr>
        <w:t>the adoption of the six professional education f</w:t>
      </w:r>
      <w:r w:rsidR="00271647" w:rsidRPr="00956EDA">
        <w:rPr>
          <w:rFonts w:cstheme="minorHAnsi"/>
        </w:rPr>
        <w:t>oci</w:t>
      </w:r>
      <w:r w:rsidR="004D6179" w:rsidRPr="00956EDA">
        <w:rPr>
          <w:rFonts w:cstheme="minorHAnsi"/>
        </w:rPr>
        <w:t>,</w:t>
      </w:r>
      <w:r w:rsidR="00271647" w:rsidRPr="00956EDA">
        <w:rPr>
          <w:rFonts w:cstheme="minorHAnsi"/>
        </w:rPr>
        <w:t xml:space="preserve"> and</w:t>
      </w:r>
      <w:r w:rsidR="00152BF5" w:rsidRPr="00956EDA">
        <w:rPr>
          <w:rFonts w:cstheme="minorHAnsi"/>
        </w:rPr>
        <w:t xml:space="preserve"> </w:t>
      </w:r>
      <w:r w:rsidR="004D6179" w:rsidRPr="00956EDA">
        <w:rPr>
          <w:rFonts w:cstheme="minorHAnsi"/>
        </w:rPr>
        <w:t xml:space="preserve">the </w:t>
      </w:r>
      <w:r w:rsidR="00271647" w:rsidRPr="00956EDA">
        <w:rPr>
          <w:rFonts w:cstheme="minorHAnsi"/>
        </w:rPr>
        <w:t>review and revision of the assessment system.</w:t>
      </w:r>
    </w:p>
    <w:p w14:paraId="7DE97F68" w14:textId="77777777" w:rsidR="00B46E4D" w:rsidRPr="00956EDA" w:rsidRDefault="00C63592" w:rsidP="00697AEF">
      <w:pPr>
        <w:rPr>
          <w:rFonts w:cstheme="minorHAnsi"/>
          <w:b/>
        </w:rPr>
      </w:pPr>
      <w:r w:rsidRPr="00956EDA">
        <w:rPr>
          <w:rFonts w:cstheme="minorHAnsi"/>
          <w:b/>
        </w:rPr>
        <w:t xml:space="preserve">Alignment of the Conceptual Framework with the University </w:t>
      </w:r>
      <w:r w:rsidR="00A93961" w:rsidRPr="00956EDA">
        <w:rPr>
          <w:rFonts w:cstheme="minorHAnsi"/>
          <w:b/>
        </w:rPr>
        <w:t>Vision and Mission</w:t>
      </w:r>
    </w:p>
    <w:p w14:paraId="01C9AE7F" w14:textId="77777777" w:rsidR="006C1B95" w:rsidRPr="00956EDA" w:rsidRDefault="008E1E44" w:rsidP="00697AEF">
      <w:pPr>
        <w:rPr>
          <w:rFonts w:cstheme="minorHAnsi"/>
        </w:rPr>
      </w:pPr>
      <w:r w:rsidRPr="00956EDA">
        <w:rPr>
          <w:rFonts w:cstheme="minorHAnsi"/>
        </w:rPr>
        <w:t>The University of North Carolina at Greensboro’s vision and mission statement are inclusive of the work of all units on campus. They describe a university that is focused on collaborative and intentional preparation for the 21</w:t>
      </w:r>
      <w:r w:rsidRPr="00956EDA">
        <w:rPr>
          <w:rFonts w:cstheme="minorHAnsi"/>
          <w:vertAlign w:val="superscript"/>
        </w:rPr>
        <w:t>st</w:t>
      </w:r>
      <w:r w:rsidRPr="00956EDA">
        <w:rPr>
          <w:rFonts w:cstheme="minorHAnsi"/>
        </w:rPr>
        <w:t xml:space="preserve"> century:</w:t>
      </w:r>
    </w:p>
    <w:p w14:paraId="3137FF67" w14:textId="77777777" w:rsidR="00DE6B2B" w:rsidRPr="00956EDA" w:rsidRDefault="00DE6B2B" w:rsidP="007C1557">
      <w:pPr>
        <w:spacing w:before="100" w:beforeAutospacing="1" w:after="100" w:afterAutospacing="1" w:line="240" w:lineRule="auto"/>
        <w:ind w:left="720"/>
        <w:outlineLvl w:val="0"/>
        <w:rPr>
          <w:rFonts w:eastAsia="Times New Roman" w:cstheme="minorHAnsi"/>
          <w:b/>
          <w:bCs/>
          <w:kern w:val="36"/>
        </w:rPr>
      </w:pPr>
      <w:r w:rsidRPr="00956EDA">
        <w:rPr>
          <w:rFonts w:eastAsia="Times New Roman" w:cstheme="minorHAnsi"/>
          <w:b/>
          <w:bCs/>
          <w:kern w:val="36"/>
        </w:rPr>
        <w:t>The UNCG Vision and Mission Statement</w:t>
      </w:r>
    </w:p>
    <w:p w14:paraId="4C4DCDEA" w14:textId="77777777" w:rsidR="00DE6B2B" w:rsidRPr="00956EDA" w:rsidRDefault="00DE6B2B" w:rsidP="003F46B4">
      <w:pPr>
        <w:spacing w:before="100" w:beforeAutospacing="1" w:after="100" w:afterAutospacing="1" w:line="240" w:lineRule="auto"/>
        <w:ind w:left="720"/>
        <w:rPr>
          <w:rFonts w:eastAsia="Times New Roman" w:cstheme="minorHAnsi"/>
        </w:rPr>
      </w:pPr>
      <w:r w:rsidRPr="00956EDA">
        <w:rPr>
          <w:rFonts w:eastAsia="Times New Roman" w:cstheme="minorHAnsi"/>
        </w:rPr>
        <w:t xml:space="preserve">The University of North Carolina at Greensboro will redefine the public research university for the twenty-first century as an inclusive, collaborative, and responsive institution making a difference in the lives of students and the communities it serves. </w:t>
      </w:r>
    </w:p>
    <w:p w14:paraId="5FE15D07" w14:textId="77777777" w:rsidR="00DE6B2B" w:rsidRPr="00956EDA" w:rsidRDefault="00B52FE3" w:rsidP="00C87C31">
      <w:pPr>
        <w:spacing w:after="0" w:line="240" w:lineRule="auto"/>
        <w:ind w:left="720"/>
        <w:rPr>
          <w:rFonts w:eastAsia="Times New Roman" w:cstheme="minorHAnsi"/>
        </w:rPr>
      </w:pPr>
      <w:r w:rsidRPr="00956EDA">
        <w:rPr>
          <w:rFonts w:eastAsia="Times New Roman" w:cstheme="minorHAnsi"/>
        </w:rPr>
        <w:t>UNCG is</w:t>
      </w:r>
    </w:p>
    <w:p w14:paraId="63BAB945" w14:textId="77777777" w:rsidR="00DE6B2B" w:rsidRPr="00956EDA" w:rsidRDefault="00DE6B2B" w:rsidP="00C87C31">
      <w:pPr>
        <w:numPr>
          <w:ilvl w:val="0"/>
          <w:numId w:val="23"/>
        </w:numPr>
        <w:tabs>
          <w:tab w:val="clear" w:pos="720"/>
          <w:tab w:val="num" w:pos="10800"/>
        </w:tabs>
        <w:spacing w:after="0" w:line="240" w:lineRule="auto"/>
        <w:ind w:left="1440"/>
        <w:rPr>
          <w:rFonts w:eastAsia="Times New Roman" w:cstheme="minorHAnsi"/>
        </w:rPr>
      </w:pPr>
      <w:r w:rsidRPr="00956EDA">
        <w:rPr>
          <w:rFonts w:eastAsia="Times New Roman" w:cstheme="minorHAnsi"/>
        </w:rPr>
        <w:t>a learner-centered, accessible, and inclusive community fostering intellectual inquiry to prepare students for meaningful lives and engaged citizenship;</w:t>
      </w:r>
    </w:p>
    <w:p w14:paraId="0D628335" w14:textId="77777777" w:rsidR="00DE6B2B" w:rsidRPr="00956EDA" w:rsidRDefault="00DE6B2B" w:rsidP="003F46B4">
      <w:pPr>
        <w:numPr>
          <w:ilvl w:val="0"/>
          <w:numId w:val="23"/>
        </w:numPr>
        <w:tabs>
          <w:tab w:val="clear" w:pos="720"/>
          <w:tab w:val="num" w:pos="9360"/>
        </w:tabs>
        <w:spacing w:before="100" w:beforeAutospacing="1" w:after="100" w:afterAutospacing="1" w:line="240" w:lineRule="auto"/>
        <w:ind w:left="1440"/>
        <w:rPr>
          <w:rFonts w:eastAsia="Times New Roman" w:cstheme="minorHAnsi"/>
        </w:rPr>
      </w:pPr>
      <w:r w:rsidRPr="00956EDA">
        <w:rPr>
          <w:rFonts w:eastAsia="Times New Roman" w:cstheme="minorHAnsi"/>
        </w:rPr>
        <w:lastRenderedPageBreak/>
        <w:t>an institution offering classes on campus, off campus, and online for degree-seeking students and life-long learners;</w:t>
      </w:r>
    </w:p>
    <w:p w14:paraId="17503464" w14:textId="77777777" w:rsidR="00DE6B2B" w:rsidRPr="00956EDA" w:rsidRDefault="00DE6B2B" w:rsidP="003F46B4">
      <w:pPr>
        <w:numPr>
          <w:ilvl w:val="0"/>
          <w:numId w:val="23"/>
        </w:numPr>
        <w:tabs>
          <w:tab w:val="clear" w:pos="720"/>
          <w:tab w:val="num" w:pos="8640"/>
        </w:tabs>
        <w:spacing w:before="100" w:beforeAutospacing="1" w:after="100" w:afterAutospacing="1" w:line="240" w:lineRule="auto"/>
        <w:ind w:left="1440"/>
        <w:rPr>
          <w:rFonts w:eastAsia="Times New Roman" w:cstheme="minorHAnsi"/>
        </w:rPr>
      </w:pPr>
      <w:r w:rsidRPr="00956EDA">
        <w:rPr>
          <w:rFonts w:eastAsia="Times New Roman" w:cstheme="minorHAnsi"/>
        </w:rPr>
        <w:t>a doctorate-granting research university where collaborative scholarship and creative activity enhance quality of life across the life span;</w:t>
      </w:r>
    </w:p>
    <w:p w14:paraId="7AF69347" w14:textId="77777777" w:rsidR="00DE6B2B" w:rsidRPr="00956EDA" w:rsidRDefault="00DE6B2B" w:rsidP="003F46B4">
      <w:pPr>
        <w:numPr>
          <w:ilvl w:val="0"/>
          <w:numId w:val="23"/>
        </w:numPr>
        <w:tabs>
          <w:tab w:val="clear" w:pos="720"/>
          <w:tab w:val="num" w:pos="7920"/>
        </w:tabs>
        <w:spacing w:before="100" w:beforeAutospacing="1" w:after="100" w:afterAutospacing="1" w:line="240" w:lineRule="auto"/>
        <w:ind w:left="1440"/>
        <w:rPr>
          <w:rFonts w:eastAsia="Times New Roman" w:cstheme="minorHAnsi"/>
        </w:rPr>
      </w:pPr>
      <w:r w:rsidRPr="00956EDA">
        <w:rPr>
          <w:rFonts w:eastAsia="Times New Roman" w:cstheme="minorHAnsi"/>
        </w:rPr>
        <w:t>a source of innovation and leadership meeting social, economic, and environmental challenges in the Piedmont Triad, North Carolina, and beyond; and</w:t>
      </w:r>
    </w:p>
    <w:p w14:paraId="607CF869" w14:textId="77777777" w:rsidR="00DE6B2B" w:rsidRPr="00956EDA" w:rsidRDefault="00DE6B2B" w:rsidP="008A6F23">
      <w:pPr>
        <w:numPr>
          <w:ilvl w:val="0"/>
          <w:numId w:val="23"/>
        </w:numPr>
        <w:tabs>
          <w:tab w:val="clear" w:pos="720"/>
          <w:tab w:val="num" w:pos="7200"/>
        </w:tabs>
        <w:spacing w:after="0" w:line="240" w:lineRule="auto"/>
        <w:ind w:left="1440"/>
        <w:rPr>
          <w:rFonts w:eastAsia="Times New Roman" w:cstheme="minorHAnsi"/>
        </w:rPr>
      </w:pPr>
      <w:proofErr w:type="gramStart"/>
      <w:r w:rsidRPr="00956EDA">
        <w:rPr>
          <w:rFonts w:eastAsia="Times New Roman" w:cstheme="minorHAnsi"/>
        </w:rPr>
        <w:t>a</w:t>
      </w:r>
      <w:proofErr w:type="gramEnd"/>
      <w:r w:rsidRPr="00956EDA">
        <w:rPr>
          <w:rFonts w:eastAsia="Times New Roman" w:cstheme="minorHAnsi"/>
        </w:rPr>
        <w:t xml:space="preserve"> global university integrating intercultural and international experiences and perspectives into learning, discovery, and service.</w:t>
      </w:r>
    </w:p>
    <w:p w14:paraId="3552CA75" w14:textId="77777777" w:rsidR="003F46B4" w:rsidRPr="00956EDA" w:rsidRDefault="00AA7191" w:rsidP="008A6F23">
      <w:pPr>
        <w:spacing w:after="100" w:afterAutospacing="1" w:line="240" w:lineRule="auto"/>
        <w:ind w:left="720"/>
        <w:jc w:val="right"/>
        <w:rPr>
          <w:rFonts w:eastAsia="Times New Roman" w:cstheme="minorHAnsi"/>
        </w:rPr>
      </w:pPr>
      <w:hyperlink r:id="rId9" w:history="1">
        <w:r w:rsidR="003F46B4" w:rsidRPr="00956EDA">
          <w:rPr>
            <w:rStyle w:val="Hyperlink"/>
            <w:rFonts w:eastAsia="Times New Roman" w:cstheme="minorHAnsi"/>
          </w:rPr>
          <w:t xml:space="preserve"> The UNCG Vision and Mission Statement</w:t>
        </w:r>
      </w:hyperlink>
    </w:p>
    <w:p w14:paraId="442DBD13" w14:textId="77777777" w:rsidR="00F50ECD" w:rsidRPr="00956EDA" w:rsidRDefault="008E1E44" w:rsidP="00DE6B2B">
      <w:pPr>
        <w:spacing w:before="100" w:beforeAutospacing="1" w:after="100" w:afterAutospacing="1" w:line="240" w:lineRule="auto"/>
        <w:rPr>
          <w:rFonts w:eastAsia="Times New Roman" w:cstheme="minorHAnsi"/>
        </w:rPr>
      </w:pPr>
      <w:r w:rsidRPr="00956EDA">
        <w:rPr>
          <w:rFonts w:eastAsia="Times New Roman" w:cstheme="minorHAnsi"/>
        </w:rPr>
        <w:t xml:space="preserve">In alignment with UNCG’s vision and mission, the work of professional education focuses on leadership in the </w:t>
      </w:r>
      <w:r w:rsidR="00B52FE3" w:rsidRPr="00956EDA">
        <w:rPr>
          <w:rFonts w:eastAsia="Times New Roman" w:cstheme="minorHAnsi"/>
        </w:rPr>
        <w:t xml:space="preserve">University, </w:t>
      </w:r>
      <w:r w:rsidR="00FA6185" w:rsidRPr="00956EDA">
        <w:rPr>
          <w:rFonts w:eastAsia="Times New Roman" w:cstheme="minorHAnsi"/>
        </w:rPr>
        <w:t>B</w:t>
      </w:r>
      <w:r w:rsidR="00B52FE3" w:rsidRPr="00956EDA">
        <w:rPr>
          <w:rFonts w:eastAsia="Times New Roman" w:cstheme="minorHAnsi"/>
        </w:rPr>
        <w:t>-12 and academic communities</w:t>
      </w:r>
      <w:r w:rsidR="00F50ECD" w:rsidRPr="00956EDA">
        <w:rPr>
          <w:rFonts w:eastAsia="Times New Roman" w:cstheme="minorHAnsi"/>
        </w:rPr>
        <w:t>;</w:t>
      </w:r>
      <w:r w:rsidRPr="00956EDA">
        <w:rPr>
          <w:rFonts w:eastAsia="Times New Roman" w:cstheme="minorHAnsi"/>
        </w:rPr>
        <w:t xml:space="preserve"> rigorous academic content </w:t>
      </w:r>
      <w:r w:rsidR="00F50ECD" w:rsidRPr="00956EDA">
        <w:rPr>
          <w:rFonts w:eastAsia="Times New Roman" w:cstheme="minorHAnsi"/>
        </w:rPr>
        <w:t>and professional preparation;</w:t>
      </w:r>
      <w:r w:rsidR="00B52FE3" w:rsidRPr="00956EDA">
        <w:rPr>
          <w:rFonts w:eastAsia="Times New Roman" w:cstheme="minorHAnsi"/>
        </w:rPr>
        <w:t xml:space="preserve"> a commitment to inclusive</w:t>
      </w:r>
      <w:r w:rsidR="00F50ECD" w:rsidRPr="00956EDA">
        <w:rPr>
          <w:rFonts w:eastAsia="Times New Roman" w:cstheme="minorHAnsi"/>
        </w:rPr>
        <w:t>ness on campus and in the field;</w:t>
      </w:r>
      <w:r w:rsidR="00B52FE3" w:rsidRPr="00956EDA">
        <w:rPr>
          <w:rFonts w:eastAsia="Times New Roman" w:cstheme="minorHAnsi"/>
        </w:rPr>
        <w:t xml:space="preserve"> and an understanding that students must be prepared to grow professionally throughout their careers. </w:t>
      </w:r>
    </w:p>
    <w:p w14:paraId="29BB6230" w14:textId="77777777" w:rsidR="00DE6B2B" w:rsidRPr="00956EDA" w:rsidRDefault="00B52FE3" w:rsidP="00DE6B2B">
      <w:pPr>
        <w:spacing w:before="100" w:beforeAutospacing="1" w:after="100" w:afterAutospacing="1" w:line="240" w:lineRule="auto"/>
        <w:rPr>
          <w:rFonts w:eastAsia="Times New Roman" w:cstheme="minorHAnsi"/>
        </w:rPr>
      </w:pPr>
      <w:r w:rsidRPr="00956EDA">
        <w:rPr>
          <w:rFonts w:eastAsia="Times New Roman" w:cstheme="minorHAnsi"/>
        </w:rPr>
        <w:t>Both UNCG</w:t>
      </w:r>
      <w:r w:rsidR="00F50ECD" w:rsidRPr="00956EDA">
        <w:rPr>
          <w:rFonts w:eastAsia="Times New Roman" w:cstheme="minorHAnsi"/>
        </w:rPr>
        <w:t>’</w:t>
      </w:r>
      <w:r w:rsidRPr="00956EDA">
        <w:rPr>
          <w:rFonts w:eastAsia="Times New Roman" w:cstheme="minorHAnsi"/>
        </w:rPr>
        <w:t xml:space="preserve">s Vision for Teaching and Learning and its philosophy for the General Education Program reinforce these University priorities and are, again, </w:t>
      </w:r>
      <w:r w:rsidR="006C7601" w:rsidRPr="00956EDA">
        <w:rPr>
          <w:rFonts w:eastAsia="Times New Roman" w:cstheme="minorHAnsi"/>
        </w:rPr>
        <w:t xml:space="preserve">consistent </w:t>
      </w:r>
      <w:r w:rsidRPr="00956EDA">
        <w:rPr>
          <w:rFonts w:eastAsia="Times New Roman" w:cstheme="minorHAnsi"/>
        </w:rPr>
        <w:t>with the foci of the licensure programs.</w:t>
      </w:r>
    </w:p>
    <w:p w14:paraId="14B28E94" w14:textId="77777777" w:rsidR="00DE6B2B" w:rsidRPr="00956EDA" w:rsidRDefault="00DE6B2B" w:rsidP="003F46B4">
      <w:pPr>
        <w:spacing w:before="100" w:beforeAutospacing="1" w:after="100" w:afterAutospacing="1" w:line="240" w:lineRule="auto"/>
        <w:ind w:left="720"/>
        <w:outlineLvl w:val="0"/>
        <w:rPr>
          <w:rFonts w:eastAsia="Times New Roman" w:cstheme="minorHAnsi"/>
          <w:b/>
          <w:bCs/>
          <w:kern w:val="36"/>
        </w:rPr>
      </w:pPr>
      <w:r w:rsidRPr="00956EDA">
        <w:rPr>
          <w:rFonts w:eastAsia="Times New Roman" w:cstheme="minorHAnsi"/>
          <w:b/>
          <w:bCs/>
          <w:kern w:val="36"/>
        </w:rPr>
        <w:t>UNCG’s Vision for Teaching and Learning</w:t>
      </w:r>
    </w:p>
    <w:p w14:paraId="21146DA7" w14:textId="77777777" w:rsidR="00DE6B2B" w:rsidRPr="00956EDA" w:rsidRDefault="00DE6B2B" w:rsidP="003F46B4">
      <w:pPr>
        <w:spacing w:before="100" w:beforeAutospacing="1" w:after="100" w:afterAutospacing="1" w:line="240" w:lineRule="auto"/>
        <w:ind w:left="720"/>
        <w:rPr>
          <w:rFonts w:eastAsia="Times New Roman" w:cstheme="minorHAnsi"/>
        </w:rPr>
      </w:pPr>
      <w:r w:rsidRPr="00956EDA">
        <w:rPr>
          <w:rFonts w:eastAsia="Times New Roman" w:cstheme="minorHAnsi"/>
        </w:rPr>
        <w:t>UNCG embraces student learning as its highest priority and provides exemplary learning environments. The University establishes a diverse community of learning in which individual differences are valued and interactions are encouraged in an atmosphere of m</w:t>
      </w:r>
      <w:r w:rsidR="00B52FE3" w:rsidRPr="00956EDA">
        <w:rPr>
          <w:rFonts w:eastAsia="Times New Roman" w:cstheme="minorHAnsi"/>
        </w:rPr>
        <w:t>utual respect…</w:t>
      </w:r>
    </w:p>
    <w:p w14:paraId="27BF67C0" w14:textId="77777777" w:rsidR="00DE6B2B" w:rsidRPr="00956EDA" w:rsidRDefault="00DE6B2B" w:rsidP="008A6F23">
      <w:pPr>
        <w:spacing w:after="0" w:line="240" w:lineRule="auto"/>
        <w:ind w:left="720"/>
        <w:rPr>
          <w:rFonts w:eastAsia="Times New Roman" w:cstheme="minorHAnsi"/>
        </w:rPr>
      </w:pPr>
      <w:r w:rsidRPr="00956EDA">
        <w:rPr>
          <w:rFonts w:eastAsia="Times New Roman" w:cstheme="minorHAnsi"/>
        </w:rPr>
        <w:t xml:space="preserve">UNCG graduates should be ready to continue as lifelong learners and to face the challenges that </w:t>
      </w:r>
      <w:r w:rsidR="00B52FE3" w:rsidRPr="00956EDA">
        <w:rPr>
          <w:rFonts w:eastAsia="Times New Roman" w:cstheme="minorHAnsi"/>
        </w:rPr>
        <w:t>w</w:t>
      </w:r>
      <w:r w:rsidRPr="00956EDA">
        <w:rPr>
          <w:rFonts w:eastAsia="Times New Roman" w:cstheme="minorHAnsi"/>
        </w:rPr>
        <w:t xml:space="preserve">ill confront them as responsible citizens of the state, the nation and the world. </w:t>
      </w:r>
    </w:p>
    <w:p w14:paraId="74FC008C" w14:textId="77777777" w:rsidR="003F46B4" w:rsidRPr="00956EDA" w:rsidRDefault="00AA7191" w:rsidP="008A6F23">
      <w:pPr>
        <w:ind w:left="720"/>
        <w:jc w:val="right"/>
        <w:rPr>
          <w:rFonts w:cstheme="minorHAnsi"/>
        </w:rPr>
      </w:pPr>
      <w:hyperlink r:id="rId10" w:history="1">
        <w:r w:rsidR="003F46B4" w:rsidRPr="00956EDA">
          <w:rPr>
            <w:rStyle w:val="Hyperlink"/>
            <w:rFonts w:cstheme="minorHAnsi"/>
          </w:rPr>
          <w:t>Vision for Teaching and Learning</w:t>
        </w:r>
      </w:hyperlink>
    </w:p>
    <w:p w14:paraId="02ADE5DC" w14:textId="77777777" w:rsidR="00B643D7" w:rsidRPr="00956EDA" w:rsidRDefault="00B643D7" w:rsidP="008A6F23">
      <w:pPr>
        <w:spacing w:after="0"/>
        <w:ind w:left="720"/>
        <w:rPr>
          <w:rFonts w:cstheme="minorHAnsi"/>
        </w:rPr>
      </w:pPr>
      <w:r w:rsidRPr="00956EDA">
        <w:rPr>
          <w:rFonts w:cstheme="minorHAnsi"/>
        </w:rPr>
        <w:t xml:space="preserve">A </w:t>
      </w:r>
      <w:r w:rsidRPr="00956EDA">
        <w:rPr>
          <w:rStyle w:val="HTMLAcronym"/>
          <w:rFonts w:cstheme="minorHAnsi"/>
        </w:rPr>
        <w:t>UNCG</w:t>
      </w:r>
      <w:r w:rsidRPr="00956EDA">
        <w:rPr>
          <w:rFonts w:cstheme="minorHAnsi"/>
        </w:rPr>
        <w:t xml:space="preserve"> graduate should combine specialized education in a major with the skills, knowledge, and understanding necessary to be a lifelong learner, an ethical and independent decision maker, a critical and creative thinker, a clear and effective communicator, and a responsible citizen.</w:t>
      </w:r>
    </w:p>
    <w:p w14:paraId="6457EB15" w14:textId="77777777" w:rsidR="008A6F23" w:rsidRPr="00956EDA" w:rsidRDefault="00AA7191" w:rsidP="008A6F23">
      <w:pPr>
        <w:ind w:left="720"/>
        <w:jc w:val="right"/>
        <w:rPr>
          <w:rFonts w:cstheme="minorHAnsi"/>
        </w:rPr>
      </w:pPr>
      <w:hyperlink r:id="rId11" w:history="1">
        <w:hyperlink r:id="rId12" w:history="1">
          <w:r w:rsidR="008A6F23" w:rsidRPr="00956EDA">
            <w:rPr>
              <w:rStyle w:val="Hyperlink"/>
              <w:rFonts w:cstheme="minorHAnsi"/>
            </w:rPr>
            <w:t>Philosophy of UNCG’s General Education Program</w:t>
          </w:r>
        </w:hyperlink>
      </w:hyperlink>
    </w:p>
    <w:p w14:paraId="1BE26D62" w14:textId="77777777" w:rsidR="006C7601" w:rsidRPr="00956EDA" w:rsidRDefault="006C7601" w:rsidP="006C7601">
      <w:pPr>
        <w:tabs>
          <w:tab w:val="left" w:pos="2039"/>
        </w:tabs>
        <w:rPr>
          <w:rFonts w:cstheme="minorHAnsi"/>
          <w:b/>
        </w:rPr>
      </w:pPr>
      <w:r w:rsidRPr="00956EDA">
        <w:rPr>
          <w:rFonts w:cstheme="minorHAnsi"/>
          <w:b/>
        </w:rPr>
        <w:t>Alignment with the Teachers Academy Mission</w:t>
      </w:r>
    </w:p>
    <w:p w14:paraId="588B1088" w14:textId="77777777" w:rsidR="006C7601" w:rsidRPr="00956EDA" w:rsidRDefault="007C1557" w:rsidP="006C7601">
      <w:pPr>
        <w:pStyle w:val="Normal1"/>
        <w:spacing w:after="200"/>
        <w:rPr>
          <w:rFonts w:asciiTheme="minorHAnsi" w:hAnsiTheme="minorHAnsi" w:cstheme="minorHAnsi"/>
          <w:szCs w:val="22"/>
        </w:rPr>
      </w:pPr>
      <w:r w:rsidRPr="00956EDA">
        <w:rPr>
          <w:rFonts w:asciiTheme="minorHAnsi" w:hAnsiTheme="minorHAnsi" w:cstheme="minorHAnsi"/>
          <w:szCs w:val="22"/>
        </w:rPr>
        <w:t xml:space="preserve">Each of the six professional foci described above </w:t>
      </w:r>
      <w:r w:rsidR="005F2AFA" w:rsidRPr="00956EDA">
        <w:rPr>
          <w:rFonts w:asciiTheme="minorHAnsi" w:hAnsiTheme="minorHAnsi" w:cstheme="minorHAnsi"/>
          <w:szCs w:val="22"/>
        </w:rPr>
        <w:t>is</w:t>
      </w:r>
      <w:r w:rsidRPr="00956EDA">
        <w:rPr>
          <w:rFonts w:asciiTheme="minorHAnsi" w:hAnsiTheme="minorHAnsi" w:cstheme="minorHAnsi"/>
          <w:szCs w:val="22"/>
        </w:rPr>
        <w:t xml:space="preserve"> also aligned with the mission of the Teachers Academy, the umbrella organization that addresses policy and communication for all professional education programs at UNCG. The foci,</w:t>
      </w:r>
      <w:r w:rsidR="006C7601" w:rsidRPr="00956EDA">
        <w:rPr>
          <w:rFonts w:asciiTheme="minorHAnsi" w:hAnsiTheme="minorHAnsi" w:cstheme="minorHAnsi"/>
          <w:szCs w:val="22"/>
        </w:rPr>
        <w:t xml:space="preserve"> alone and together, support and promote </w:t>
      </w:r>
      <w:r w:rsidRPr="00956EDA">
        <w:rPr>
          <w:rFonts w:asciiTheme="minorHAnsi" w:hAnsiTheme="minorHAnsi" w:cstheme="minorHAnsi"/>
          <w:szCs w:val="22"/>
        </w:rPr>
        <w:t>the Teachers Academy’s</w:t>
      </w:r>
      <w:r w:rsidR="006C7601" w:rsidRPr="00956EDA">
        <w:rPr>
          <w:rFonts w:asciiTheme="minorHAnsi" w:hAnsiTheme="minorHAnsi" w:cstheme="minorHAnsi"/>
          <w:szCs w:val="22"/>
        </w:rPr>
        <w:t xml:space="preserve"> commitment to “Access to Life’s Opportunities through Teaching, Learning and Caring.” Our candidates are knowledgeable about their disciplines and professional practice, are committed to and act on positive professional dispositions, understand the importance of data that informs their practice and growth, and use all of these skills in the interest of leading in their fields. Our </w:t>
      </w:r>
      <w:proofErr w:type="gramStart"/>
      <w:r w:rsidR="006C7601" w:rsidRPr="00956EDA">
        <w:rPr>
          <w:rFonts w:asciiTheme="minorHAnsi" w:hAnsiTheme="minorHAnsi" w:cstheme="minorHAnsi"/>
          <w:szCs w:val="22"/>
        </w:rPr>
        <w:t>faculty are</w:t>
      </w:r>
      <w:proofErr w:type="gramEnd"/>
      <w:r w:rsidR="006C7601" w:rsidRPr="00956EDA">
        <w:rPr>
          <w:rFonts w:asciiTheme="minorHAnsi" w:hAnsiTheme="minorHAnsi" w:cstheme="minorHAnsi"/>
          <w:szCs w:val="22"/>
        </w:rPr>
        <w:t xml:space="preserve"> committed to excellence in teaching, learning and caring that, in turn, results in candidates who teach, learn and care at the highest levels.</w:t>
      </w:r>
    </w:p>
    <w:p w14:paraId="6A0619A1" w14:textId="77777777" w:rsidR="006C7601" w:rsidRPr="00956EDA" w:rsidRDefault="006C7601" w:rsidP="006C7601">
      <w:pPr>
        <w:pStyle w:val="Normal1"/>
        <w:spacing w:after="200"/>
        <w:ind w:left="720"/>
        <w:rPr>
          <w:rFonts w:asciiTheme="minorHAnsi" w:hAnsiTheme="minorHAnsi" w:cstheme="minorHAnsi"/>
          <w:b/>
          <w:szCs w:val="22"/>
        </w:rPr>
      </w:pPr>
      <w:r w:rsidRPr="00956EDA">
        <w:rPr>
          <w:rFonts w:asciiTheme="minorHAnsi" w:hAnsiTheme="minorHAnsi" w:cstheme="minorHAnsi"/>
          <w:b/>
          <w:szCs w:val="22"/>
        </w:rPr>
        <w:lastRenderedPageBreak/>
        <w:t>Teachers Academy Mission</w:t>
      </w:r>
    </w:p>
    <w:p w14:paraId="071228BB" w14:textId="77777777" w:rsidR="006C7601" w:rsidRPr="00956EDA" w:rsidRDefault="006C7601" w:rsidP="006C7601">
      <w:pPr>
        <w:autoSpaceDE w:val="0"/>
        <w:autoSpaceDN w:val="0"/>
        <w:adjustRightInd w:val="0"/>
        <w:ind w:left="720"/>
      </w:pPr>
      <w:r w:rsidRPr="00956EDA">
        <w:t>The mission of professional education at UNCG is to ensure “Access to Life’s Opportunities through Teaching, Learning and Caring.” To this end, UNCG prepares and supports the professional development of educators who work in diverse settings. This mission is carried out in an environment that nurtures the active engagement of all participants, values individual as well as cultural diversity, and recognizes the importance of reflection and integration of theory and practice. UNCG's professional education programs are guided by shared commitments to the preparation of education professionals who have the knowledge, skills and dispositions to</w:t>
      </w:r>
    </w:p>
    <w:p w14:paraId="5EB14F58" w14:textId="77777777" w:rsidR="006C7601" w:rsidRPr="00956EDA" w:rsidRDefault="006C7601" w:rsidP="006C7601">
      <w:pPr>
        <w:numPr>
          <w:ilvl w:val="0"/>
          <w:numId w:val="2"/>
        </w:numPr>
        <w:autoSpaceDE w:val="0"/>
        <w:autoSpaceDN w:val="0"/>
        <w:adjustRightInd w:val="0"/>
        <w:spacing w:after="0" w:line="240" w:lineRule="auto"/>
        <w:ind w:left="1440"/>
      </w:pPr>
      <w:r w:rsidRPr="00956EDA">
        <w:t>be leaders in their fields, schools or agencies, and communities</w:t>
      </w:r>
    </w:p>
    <w:p w14:paraId="533DD2C3" w14:textId="77777777" w:rsidR="006C7601" w:rsidRPr="00956EDA" w:rsidRDefault="006C7601" w:rsidP="006C7601">
      <w:pPr>
        <w:numPr>
          <w:ilvl w:val="0"/>
          <w:numId w:val="2"/>
        </w:numPr>
        <w:autoSpaceDE w:val="0"/>
        <w:autoSpaceDN w:val="0"/>
        <w:adjustRightInd w:val="0"/>
        <w:spacing w:after="0" w:line="240" w:lineRule="auto"/>
        <w:ind w:left="1440"/>
      </w:pPr>
      <w:r w:rsidRPr="00956EDA">
        <w:t>create and support safe and inclusive educational environments that provide equity of access to learning for all students</w:t>
      </w:r>
    </w:p>
    <w:p w14:paraId="05CB5CFC" w14:textId="77777777" w:rsidR="006C7601" w:rsidRPr="00956EDA" w:rsidRDefault="006C7601" w:rsidP="006C7601">
      <w:pPr>
        <w:numPr>
          <w:ilvl w:val="0"/>
          <w:numId w:val="2"/>
        </w:numPr>
        <w:autoSpaceDE w:val="0"/>
        <w:autoSpaceDN w:val="0"/>
        <w:adjustRightInd w:val="0"/>
        <w:spacing w:after="0" w:line="240" w:lineRule="auto"/>
        <w:ind w:left="1440"/>
      </w:pPr>
      <w:r w:rsidRPr="00956EDA">
        <w:t xml:space="preserve">use the research base, assessment data and critical reflections to inform their professional decision making </w:t>
      </w:r>
    </w:p>
    <w:p w14:paraId="65BAD05D" w14:textId="77777777" w:rsidR="006C7601" w:rsidRPr="00956EDA" w:rsidRDefault="006C7601" w:rsidP="006C7601">
      <w:pPr>
        <w:numPr>
          <w:ilvl w:val="0"/>
          <w:numId w:val="2"/>
        </w:numPr>
        <w:autoSpaceDE w:val="0"/>
        <w:autoSpaceDN w:val="0"/>
        <w:adjustRightInd w:val="0"/>
        <w:spacing w:after="0" w:line="240" w:lineRule="auto"/>
        <w:ind w:left="1440"/>
      </w:pPr>
      <w:r w:rsidRPr="00956EDA">
        <w:t xml:space="preserve">continually acquire professional knowledge and contribute to the professional knowledge base, and </w:t>
      </w:r>
    </w:p>
    <w:p w14:paraId="4AD86F0E" w14:textId="77777777" w:rsidR="006C7601" w:rsidRPr="00956EDA" w:rsidRDefault="006C7601" w:rsidP="006C7601">
      <w:pPr>
        <w:numPr>
          <w:ilvl w:val="0"/>
          <w:numId w:val="2"/>
        </w:numPr>
        <w:autoSpaceDE w:val="0"/>
        <w:autoSpaceDN w:val="0"/>
        <w:adjustRightInd w:val="0"/>
        <w:spacing w:after="0" w:line="240" w:lineRule="auto"/>
        <w:ind w:left="1440"/>
      </w:pPr>
      <w:r w:rsidRPr="00956EDA">
        <w:t>act with professional integrity, ethical deliberation and a commitment to collaborative practice in dealing with students and colleagues</w:t>
      </w:r>
    </w:p>
    <w:p w14:paraId="6C293BCF" w14:textId="77777777" w:rsidR="007C1557" w:rsidRPr="00956EDA" w:rsidRDefault="007C1557" w:rsidP="007C1557">
      <w:pPr>
        <w:tabs>
          <w:tab w:val="left" w:pos="2039"/>
        </w:tabs>
        <w:rPr>
          <w:rFonts w:cstheme="minorHAnsi"/>
          <w:b/>
        </w:rPr>
      </w:pPr>
    </w:p>
    <w:p w14:paraId="04E8583C" w14:textId="77777777" w:rsidR="007C1557" w:rsidRPr="00956EDA" w:rsidRDefault="007C1557" w:rsidP="007C1557">
      <w:pPr>
        <w:tabs>
          <w:tab w:val="left" w:pos="2039"/>
        </w:tabs>
        <w:rPr>
          <w:rFonts w:cstheme="minorHAnsi"/>
          <w:b/>
        </w:rPr>
      </w:pPr>
      <w:r w:rsidRPr="00956EDA">
        <w:rPr>
          <w:rFonts w:cstheme="minorHAnsi"/>
          <w:b/>
        </w:rPr>
        <w:t>Alignment with NCATE, State and Disciplinary Standards</w:t>
      </w:r>
    </w:p>
    <w:p w14:paraId="608D95CA" w14:textId="77777777" w:rsidR="007C1557" w:rsidRPr="00956EDA" w:rsidRDefault="007C1557" w:rsidP="007C1557">
      <w:pPr>
        <w:pStyle w:val="Normal1"/>
        <w:spacing w:after="200"/>
        <w:rPr>
          <w:rFonts w:asciiTheme="minorHAnsi" w:hAnsiTheme="minorHAnsi" w:cstheme="minorHAnsi"/>
          <w:szCs w:val="22"/>
        </w:rPr>
      </w:pPr>
      <w:r w:rsidRPr="00956EDA">
        <w:rPr>
          <w:rFonts w:asciiTheme="minorHAnsi" w:hAnsiTheme="minorHAnsi" w:cstheme="minorHAnsi"/>
          <w:szCs w:val="22"/>
        </w:rPr>
        <w:t>Finally, each of the six professional foci described above is directly</w:t>
      </w:r>
      <w:r w:rsidRPr="00956EDA">
        <w:rPr>
          <w:rFonts w:asciiTheme="minorHAnsi" w:eastAsia="Times New Roman" w:hAnsiTheme="minorHAnsi" w:cstheme="minorHAnsi"/>
          <w:szCs w:val="22"/>
        </w:rPr>
        <w:t xml:space="preserve"> aligned with State and national goals.  North Carolina professional standards for school teachers, administrators, </w:t>
      </w:r>
      <w:proofErr w:type="gramStart"/>
      <w:r w:rsidRPr="00956EDA">
        <w:rPr>
          <w:rFonts w:asciiTheme="minorHAnsi" w:eastAsia="Times New Roman" w:hAnsiTheme="minorHAnsi" w:cstheme="minorHAnsi"/>
          <w:szCs w:val="22"/>
        </w:rPr>
        <w:t>counselors</w:t>
      </w:r>
      <w:proofErr w:type="gramEnd"/>
      <w:r w:rsidRPr="00956EDA">
        <w:rPr>
          <w:rFonts w:asciiTheme="minorHAnsi" w:eastAsia="Times New Roman" w:hAnsiTheme="minorHAnsi" w:cstheme="minorHAnsi"/>
          <w:szCs w:val="22"/>
        </w:rPr>
        <w:t>, social workers, and media specialists require that professionals in each field demonstrate their proficiency in leadership, knowledge and practice. In turn, these standards are consistent with NCATE standards. UNCG candidates develop and demonstrate the knowledge, skills and dispositions that ultimately support the learning of all children in a context of 21</w:t>
      </w:r>
      <w:r w:rsidRPr="00956EDA">
        <w:rPr>
          <w:rFonts w:asciiTheme="minorHAnsi" w:eastAsia="Times New Roman" w:hAnsiTheme="minorHAnsi" w:cstheme="minorHAnsi"/>
          <w:szCs w:val="22"/>
          <w:vertAlign w:val="superscript"/>
        </w:rPr>
        <w:t>st</w:t>
      </w:r>
      <w:r w:rsidRPr="00956EDA">
        <w:rPr>
          <w:rFonts w:asciiTheme="minorHAnsi" w:eastAsia="Times New Roman" w:hAnsiTheme="minorHAnsi" w:cstheme="minorHAnsi"/>
          <w:szCs w:val="22"/>
        </w:rPr>
        <w:t xml:space="preserve"> century dynamic change and complexity.  </w:t>
      </w:r>
    </w:p>
    <w:p w14:paraId="32B855BA" w14:textId="77777777" w:rsidR="003D0190" w:rsidRPr="00956EDA" w:rsidRDefault="00D26E1C" w:rsidP="00697AEF">
      <w:pPr>
        <w:pStyle w:val="Normal1"/>
        <w:spacing w:after="200"/>
        <w:rPr>
          <w:rFonts w:asciiTheme="minorHAnsi" w:hAnsiTheme="minorHAnsi" w:cstheme="minorHAnsi"/>
          <w:szCs w:val="22"/>
        </w:rPr>
      </w:pPr>
      <w:r w:rsidRPr="00956EDA">
        <w:rPr>
          <w:rFonts w:asciiTheme="minorHAnsi" w:eastAsia="Times New Roman" w:hAnsiTheme="minorHAnsi" w:cstheme="minorHAnsi"/>
          <w:b/>
          <w:bCs/>
          <w:szCs w:val="22"/>
        </w:rPr>
        <w:t xml:space="preserve">Professional Focus I: </w:t>
      </w:r>
      <w:r w:rsidR="003D0190" w:rsidRPr="00956EDA">
        <w:rPr>
          <w:rFonts w:asciiTheme="minorHAnsi" w:eastAsia="Times New Roman" w:hAnsiTheme="minorHAnsi" w:cstheme="minorHAnsi"/>
          <w:b/>
          <w:bCs/>
          <w:szCs w:val="22"/>
        </w:rPr>
        <w:t>Leadership</w:t>
      </w:r>
    </w:p>
    <w:p w14:paraId="64BD9743" w14:textId="77777777" w:rsidR="00697AEF" w:rsidRPr="00956EDA" w:rsidRDefault="00697AEF" w:rsidP="00697AEF">
      <w:pPr>
        <w:rPr>
          <w:rFonts w:eastAsia="Times New Roman" w:cstheme="minorHAnsi"/>
          <w:bCs/>
        </w:rPr>
      </w:pPr>
      <w:r w:rsidRPr="00956EDA">
        <w:rPr>
          <w:rFonts w:cstheme="minorHAnsi"/>
          <w:b/>
          <w:i/>
          <w:color w:val="000000"/>
        </w:rPr>
        <w:t xml:space="preserve">Our Commitments. </w:t>
      </w:r>
      <w:r w:rsidRPr="00956EDA">
        <w:rPr>
          <w:rFonts w:cstheme="minorHAnsi"/>
          <w:color w:val="000000"/>
        </w:rPr>
        <w:t>UNCG recognizes the critical importance of preparing</w:t>
      </w:r>
      <w:r w:rsidR="00E73324" w:rsidRPr="00956EDA">
        <w:rPr>
          <w:rFonts w:cstheme="minorHAnsi"/>
          <w:color w:val="000000"/>
        </w:rPr>
        <w:t xml:space="preserve"> all professional educators to be</w:t>
      </w:r>
      <w:r w:rsidRPr="00956EDA">
        <w:rPr>
          <w:rFonts w:cstheme="minorHAnsi"/>
          <w:color w:val="000000"/>
        </w:rPr>
        <w:t xml:space="preserve"> leaders who will have a positive influence in schools</w:t>
      </w:r>
      <w:r w:rsidR="00E73324" w:rsidRPr="00956EDA">
        <w:rPr>
          <w:rFonts w:cstheme="minorHAnsi"/>
          <w:color w:val="000000"/>
        </w:rPr>
        <w:t>, agencies</w:t>
      </w:r>
      <w:r w:rsidR="006E7FE5" w:rsidRPr="00956EDA">
        <w:rPr>
          <w:rFonts w:cstheme="minorHAnsi"/>
          <w:color w:val="000000"/>
        </w:rPr>
        <w:t>,</w:t>
      </w:r>
      <w:r w:rsidRPr="00956EDA">
        <w:rPr>
          <w:rFonts w:cstheme="minorHAnsi"/>
          <w:color w:val="000000"/>
        </w:rPr>
        <w:t xml:space="preserve"> </w:t>
      </w:r>
      <w:r w:rsidR="006E7FE5" w:rsidRPr="00956EDA">
        <w:rPr>
          <w:rFonts w:cstheme="minorHAnsi"/>
          <w:color w:val="000000"/>
        </w:rPr>
        <w:t xml:space="preserve">the community </w:t>
      </w:r>
      <w:r w:rsidRPr="00956EDA">
        <w:rPr>
          <w:rFonts w:cstheme="minorHAnsi"/>
          <w:color w:val="000000"/>
        </w:rPr>
        <w:t xml:space="preserve">and </w:t>
      </w:r>
      <w:r w:rsidR="00084937" w:rsidRPr="00956EDA">
        <w:rPr>
          <w:rFonts w:cstheme="minorHAnsi"/>
          <w:color w:val="000000"/>
        </w:rPr>
        <w:t>professional disciplines</w:t>
      </w:r>
      <w:r w:rsidRPr="00956EDA">
        <w:rPr>
          <w:rFonts w:cstheme="minorHAnsi"/>
          <w:color w:val="000000"/>
        </w:rPr>
        <w:t>. Our graduates use</w:t>
      </w:r>
      <w:r w:rsidRPr="00956EDA">
        <w:rPr>
          <w:rFonts w:eastAsia="Times New Roman" w:cstheme="minorHAnsi"/>
          <w:bCs/>
        </w:rPr>
        <w:t xml:space="preserve"> their knowledge and skills in a variety of leadership roles, serving as teacher leaders, administrators, </w:t>
      </w:r>
      <w:r w:rsidR="006A3F5E" w:rsidRPr="00956EDA">
        <w:rPr>
          <w:rFonts w:eastAsia="Times New Roman" w:cstheme="minorHAnsi"/>
          <w:bCs/>
        </w:rPr>
        <w:t xml:space="preserve">counselors, social workers, media </w:t>
      </w:r>
      <w:r w:rsidR="000D5389" w:rsidRPr="00956EDA">
        <w:rPr>
          <w:rFonts w:eastAsia="Times New Roman" w:cstheme="minorHAnsi"/>
          <w:bCs/>
        </w:rPr>
        <w:t xml:space="preserve">and technology </w:t>
      </w:r>
      <w:r w:rsidR="006A3F5E" w:rsidRPr="00956EDA">
        <w:rPr>
          <w:rFonts w:eastAsia="Times New Roman" w:cstheme="minorHAnsi"/>
          <w:bCs/>
        </w:rPr>
        <w:t xml:space="preserve">coordinators, </w:t>
      </w:r>
      <w:r w:rsidRPr="00956EDA">
        <w:rPr>
          <w:rFonts w:eastAsia="Times New Roman" w:cstheme="minorHAnsi"/>
          <w:bCs/>
        </w:rPr>
        <w:t xml:space="preserve">scholars and researchers. These leaders are prepared to use effective practices and are encouraged to model ethical behaviors consistent with the standards of their professional organizations (e.g., </w:t>
      </w:r>
      <w:r w:rsidR="006A0B9F" w:rsidRPr="00956EDA">
        <w:rPr>
          <w:rFonts w:eastAsia="Times New Roman" w:cstheme="minorHAnsi"/>
          <w:bCs/>
        </w:rPr>
        <w:t xml:space="preserve">American Association of School Administrators, </w:t>
      </w:r>
      <w:r w:rsidR="00110EF7" w:rsidRPr="00956EDA">
        <w:rPr>
          <w:rFonts w:eastAsia="Times New Roman" w:cstheme="minorHAnsi"/>
          <w:bCs/>
        </w:rPr>
        <w:t>American Association of School Librarians</w:t>
      </w:r>
      <w:r w:rsidR="00F84A74" w:rsidRPr="00956EDA">
        <w:rPr>
          <w:rFonts w:eastAsia="Times New Roman" w:cstheme="minorHAnsi"/>
          <w:bCs/>
        </w:rPr>
        <w:t>,</w:t>
      </w:r>
      <w:r w:rsidR="00110EF7" w:rsidRPr="00956EDA">
        <w:rPr>
          <w:rFonts w:eastAsia="Times New Roman" w:cstheme="minorHAnsi"/>
          <w:bCs/>
        </w:rPr>
        <w:t xml:space="preserve"> </w:t>
      </w:r>
      <w:r w:rsidRPr="00956EDA">
        <w:rPr>
          <w:rFonts w:eastAsia="Times New Roman" w:cstheme="minorHAnsi"/>
          <w:bCs/>
        </w:rPr>
        <w:t>C</w:t>
      </w:r>
      <w:r w:rsidR="006A0B9F" w:rsidRPr="00956EDA">
        <w:rPr>
          <w:rFonts w:eastAsia="Times New Roman" w:cstheme="minorHAnsi"/>
          <w:bCs/>
        </w:rPr>
        <w:t>ouncil for Exceptional Children,</w:t>
      </w:r>
      <w:r w:rsidRPr="00956EDA">
        <w:rPr>
          <w:rFonts w:eastAsia="Times New Roman" w:cstheme="minorHAnsi"/>
          <w:bCs/>
        </w:rPr>
        <w:t xml:space="preserve"> </w:t>
      </w:r>
      <w:r w:rsidR="006B23FE" w:rsidRPr="00956EDA">
        <w:rPr>
          <w:rFonts w:eastAsia="Times New Roman" w:cstheme="minorHAnsi"/>
          <w:bCs/>
        </w:rPr>
        <w:t xml:space="preserve">Council on Social Work Education, </w:t>
      </w:r>
      <w:r w:rsidR="00F84A74" w:rsidRPr="00956EDA">
        <w:rPr>
          <w:rFonts w:eastAsia="Times New Roman" w:cstheme="minorHAnsi"/>
          <w:bCs/>
        </w:rPr>
        <w:t xml:space="preserve">National Association for the Education of Young Children, </w:t>
      </w:r>
      <w:r w:rsidR="006A0B9F" w:rsidRPr="00956EDA">
        <w:rPr>
          <w:rFonts w:eastAsia="Times New Roman" w:cstheme="minorHAnsi"/>
          <w:bCs/>
        </w:rPr>
        <w:t xml:space="preserve">and </w:t>
      </w:r>
      <w:r w:rsidRPr="00956EDA">
        <w:rPr>
          <w:rFonts w:eastAsia="Times New Roman" w:cstheme="minorHAnsi"/>
          <w:bCs/>
        </w:rPr>
        <w:t>National Counc</w:t>
      </w:r>
      <w:r w:rsidR="006A0B9F" w:rsidRPr="00956EDA">
        <w:rPr>
          <w:rFonts w:eastAsia="Times New Roman" w:cstheme="minorHAnsi"/>
          <w:bCs/>
        </w:rPr>
        <w:t>il for Teachers of Mathematics</w:t>
      </w:r>
      <w:r w:rsidRPr="00956EDA">
        <w:rPr>
          <w:rFonts w:eastAsia="Times New Roman" w:cstheme="minorHAnsi"/>
          <w:bCs/>
        </w:rPr>
        <w:t>).</w:t>
      </w:r>
      <w:r w:rsidR="001F22FD" w:rsidRPr="00956EDA">
        <w:rPr>
          <w:rFonts w:eastAsia="Times New Roman" w:cstheme="minorHAnsi"/>
          <w:bCs/>
        </w:rPr>
        <w:t xml:space="preserve"> They are self-reflective and collaborative lifelong learners who seek and promote practice that benefits all children. Moreover, our programs are committed to reflection, advocacy and action that lead to school improvement in all areas that impact student learning and growth. </w:t>
      </w:r>
    </w:p>
    <w:p w14:paraId="5860C53F" w14:textId="77777777" w:rsidR="00513874" w:rsidRPr="00956EDA" w:rsidRDefault="00697AEF" w:rsidP="00E20AB0">
      <w:pPr>
        <w:spacing w:after="0"/>
        <w:rPr>
          <w:rFonts w:eastAsiaTheme="minorEastAsia" w:cstheme="minorHAnsi"/>
          <w:color w:val="141413"/>
        </w:rPr>
      </w:pPr>
      <w:r w:rsidRPr="00956EDA">
        <w:rPr>
          <w:rFonts w:eastAsia="Times New Roman" w:cstheme="minorHAnsi"/>
          <w:b/>
          <w:bCs/>
          <w:i/>
        </w:rPr>
        <w:lastRenderedPageBreak/>
        <w:t xml:space="preserve">Our Understandings. </w:t>
      </w:r>
      <w:r w:rsidRPr="00956EDA">
        <w:rPr>
          <w:rFonts w:eastAsia="Times New Roman" w:cstheme="minorHAnsi"/>
          <w:bCs/>
        </w:rPr>
        <w:t xml:space="preserve">Educational leaders recognize the importance of working effectively with school </w:t>
      </w:r>
      <w:r w:rsidR="00E6727B" w:rsidRPr="00956EDA">
        <w:rPr>
          <w:rFonts w:eastAsia="Times New Roman" w:cstheme="minorHAnsi"/>
          <w:bCs/>
        </w:rPr>
        <w:t>professionals</w:t>
      </w:r>
      <w:r w:rsidRPr="00956EDA">
        <w:rPr>
          <w:rFonts w:eastAsia="Times New Roman" w:cstheme="minorHAnsi"/>
          <w:bCs/>
        </w:rPr>
        <w:t xml:space="preserve">, families, and the community to accomplish rigorous, responsive, and challenging educational opportunities for </w:t>
      </w:r>
      <w:r w:rsidRPr="00956EDA">
        <w:rPr>
          <w:rFonts w:eastAsia="Times New Roman" w:cstheme="minorHAnsi"/>
          <w:bCs/>
          <w:i/>
        </w:rPr>
        <w:t>every</w:t>
      </w:r>
      <w:r w:rsidRPr="00956EDA">
        <w:rPr>
          <w:rFonts w:eastAsia="Times New Roman" w:cstheme="minorHAnsi"/>
          <w:bCs/>
        </w:rPr>
        <w:t xml:space="preserve"> student (</w:t>
      </w:r>
      <w:r w:rsidR="00C2771C" w:rsidRPr="00956EDA">
        <w:rPr>
          <w:rFonts w:cstheme="minorHAnsi"/>
        </w:rPr>
        <w:t>Council of Chief State School Officers</w:t>
      </w:r>
      <w:r w:rsidRPr="00956EDA">
        <w:rPr>
          <w:rFonts w:eastAsia="Times New Roman" w:cstheme="minorHAnsi"/>
          <w:bCs/>
        </w:rPr>
        <w:t xml:space="preserve">, 2008). A growing body of literature emphasizes the importance of collaborative forms of leadership </w:t>
      </w:r>
      <w:r w:rsidR="00E6727B" w:rsidRPr="00956EDA">
        <w:rPr>
          <w:rFonts w:eastAsia="Times New Roman" w:cstheme="minorHAnsi"/>
          <w:bCs/>
        </w:rPr>
        <w:t xml:space="preserve">for improving </w:t>
      </w:r>
      <w:r w:rsidRPr="00956EDA">
        <w:rPr>
          <w:rFonts w:eastAsia="Times New Roman" w:cstheme="minorHAnsi"/>
          <w:bCs/>
        </w:rPr>
        <w:t xml:space="preserve">schools and achieving equitable educational outcomes for all students. Contemporary discussions of leadership, including distributed (Elmore, 2004; Leithwood, </w:t>
      </w:r>
      <w:r w:rsidRPr="00956EDA">
        <w:rPr>
          <w:rFonts w:cstheme="minorHAnsi"/>
          <w:bCs/>
        </w:rPr>
        <w:t>Mascall, &amp; Strauss</w:t>
      </w:r>
      <w:r w:rsidRPr="00956EDA">
        <w:rPr>
          <w:rFonts w:eastAsia="Times New Roman" w:cstheme="minorHAnsi"/>
          <w:bCs/>
        </w:rPr>
        <w:t xml:space="preserve">, 2009; Spillane, 2006) and participative (Murphy, 2005) approaches, suggest a new professionalism that is “collaborative, not autonomous; open rather than closed; outward-looking rather than insular, and authoritative, but not controlling” (Fullan, 2007, p. 297). </w:t>
      </w:r>
      <w:r w:rsidR="006E7FE5" w:rsidRPr="00956EDA">
        <w:rPr>
          <w:rFonts w:eastAsia="Times New Roman" w:cstheme="minorHAnsi"/>
          <w:bCs/>
        </w:rPr>
        <w:t>All educators</w:t>
      </w:r>
      <w:r w:rsidRPr="00956EDA">
        <w:rPr>
          <w:rFonts w:eastAsia="Times New Roman" w:cstheme="minorHAnsi"/>
          <w:bCs/>
        </w:rPr>
        <w:t xml:space="preserve"> have an important role in leadership as they </w:t>
      </w:r>
      <w:r w:rsidRPr="00956EDA">
        <w:rPr>
          <w:rFonts w:eastAsiaTheme="minorEastAsia" w:cstheme="minorHAnsi"/>
          <w:color w:val="141413"/>
        </w:rPr>
        <w:t>“individually or collectively, influence their colleagues, principals, and other members of the school community to improve teaching and learning” (York-Barr &amp; Duke, 2004, p. 287-288).</w:t>
      </w:r>
    </w:p>
    <w:p w14:paraId="137BEEE9" w14:textId="77777777" w:rsidR="00697AEF" w:rsidRPr="00956EDA" w:rsidRDefault="00697AEF" w:rsidP="00697AEF">
      <w:pPr>
        <w:spacing w:after="0"/>
        <w:rPr>
          <w:rFonts w:eastAsia="Times New Roman" w:cstheme="minorHAnsi"/>
          <w:bCs/>
        </w:rPr>
      </w:pPr>
    </w:p>
    <w:p w14:paraId="14891F23" w14:textId="77777777" w:rsidR="00697AEF" w:rsidRPr="00956EDA" w:rsidRDefault="00697AEF" w:rsidP="00697AEF">
      <w:pPr>
        <w:spacing w:after="0"/>
        <w:rPr>
          <w:rFonts w:cstheme="minorHAnsi"/>
        </w:rPr>
      </w:pPr>
      <w:r w:rsidRPr="00956EDA">
        <w:rPr>
          <w:rFonts w:eastAsia="Times New Roman" w:cstheme="minorHAnsi"/>
          <w:bCs/>
        </w:rPr>
        <w:t xml:space="preserve">In collaborative cultures, </w:t>
      </w:r>
      <w:r w:rsidR="00110EF7" w:rsidRPr="00956EDA">
        <w:rPr>
          <w:rFonts w:eastAsia="Times New Roman" w:cstheme="minorHAnsi"/>
          <w:bCs/>
        </w:rPr>
        <w:t xml:space="preserve">teachers, </w:t>
      </w:r>
      <w:r w:rsidRPr="00956EDA">
        <w:rPr>
          <w:rFonts w:eastAsia="Times New Roman" w:cstheme="minorHAnsi"/>
          <w:bCs/>
        </w:rPr>
        <w:t>principals</w:t>
      </w:r>
      <w:r w:rsidR="00110EF7" w:rsidRPr="00956EDA">
        <w:rPr>
          <w:rFonts w:eastAsia="Times New Roman" w:cstheme="minorHAnsi"/>
          <w:bCs/>
        </w:rPr>
        <w:t xml:space="preserve">, </w:t>
      </w:r>
      <w:r w:rsidR="00B57A08" w:rsidRPr="00956EDA">
        <w:rPr>
          <w:rFonts w:eastAsia="Times New Roman" w:cstheme="minorHAnsi"/>
          <w:bCs/>
        </w:rPr>
        <w:t xml:space="preserve">other </w:t>
      </w:r>
      <w:r w:rsidR="00110EF7" w:rsidRPr="00956EDA">
        <w:rPr>
          <w:rFonts w:eastAsia="Times New Roman" w:cstheme="minorHAnsi"/>
          <w:bCs/>
        </w:rPr>
        <w:t>education professionals</w:t>
      </w:r>
      <w:r w:rsidRPr="00956EDA">
        <w:rPr>
          <w:rFonts w:eastAsia="Times New Roman" w:cstheme="minorHAnsi"/>
          <w:bCs/>
        </w:rPr>
        <w:t xml:space="preserve"> </w:t>
      </w:r>
      <w:r w:rsidR="00E80417" w:rsidRPr="00956EDA">
        <w:rPr>
          <w:rFonts w:eastAsia="Times New Roman" w:cstheme="minorHAnsi"/>
          <w:bCs/>
        </w:rPr>
        <w:t xml:space="preserve">and community members </w:t>
      </w:r>
      <w:r w:rsidRPr="00956EDA">
        <w:rPr>
          <w:rFonts w:eastAsia="Times New Roman" w:cstheme="minorHAnsi"/>
          <w:bCs/>
        </w:rPr>
        <w:t>work together to set school goals</w:t>
      </w:r>
      <w:r w:rsidR="00F0649B" w:rsidRPr="00956EDA">
        <w:rPr>
          <w:rFonts w:eastAsia="Times New Roman" w:cstheme="minorHAnsi"/>
          <w:bCs/>
        </w:rPr>
        <w:t>,</w:t>
      </w:r>
      <w:r w:rsidRPr="00956EDA">
        <w:rPr>
          <w:rFonts w:eastAsia="Times New Roman" w:cstheme="minorHAnsi"/>
          <w:bCs/>
        </w:rPr>
        <w:t xml:space="preserve"> and these shared goals help to “focus efforts and mobilize resources in agreed-upon directions” (F</w:t>
      </w:r>
      <w:r w:rsidR="00D630B8" w:rsidRPr="00956EDA">
        <w:rPr>
          <w:rFonts w:eastAsia="Times New Roman" w:cstheme="minorHAnsi"/>
          <w:bCs/>
        </w:rPr>
        <w:t>ullan, 2007, p. 143). T</w:t>
      </w:r>
      <w:r w:rsidRPr="00956EDA">
        <w:rPr>
          <w:rFonts w:eastAsia="Times New Roman" w:cstheme="minorHAnsi"/>
          <w:bCs/>
        </w:rPr>
        <w:t>hey use a range of approaches (e.g., reading groups, team analyses of student progress</w:t>
      </w:r>
      <w:r w:rsidR="00110EF7" w:rsidRPr="00956EDA">
        <w:rPr>
          <w:rFonts w:eastAsia="Times New Roman" w:cstheme="minorHAnsi"/>
          <w:bCs/>
        </w:rPr>
        <w:t>,</w:t>
      </w:r>
      <w:r w:rsidR="00E80417" w:rsidRPr="00956EDA">
        <w:rPr>
          <w:rFonts w:eastAsia="Times New Roman" w:cstheme="minorHAnsi"/>
          <w:bCs/>
        </w:rPr>
        <w:t xml:space="preserve"> and</w:t>
      </w:r>
      <w:r w:rsidR="00110EF7" w:rsidRPr="00956EDA">
        <w:rPr>
          <w:rFonts w:eastAsia="Times New Roman" w:cstheme="minorHAnsi"/>
          <w:bCs/>
        </w:rPr>
        <w:t xml:space="preserve"> professional learning communities</w:t>
      </w:r>
      <w:r w:rsidRPr="00956EDA">
        <w:rPr>
          <w:rFonts w:eastAsia="Times New Roman" w:cstheme="minorHAnsi"/>
          <w:bCs/>
        </w:rPr>
        <w:t xml:space="preserve">) to create the conditions for both professional growth and school improvement (Murphy, 2005). </w:t>
      </w:r>
      <w:r w:rsidR="00883989" w:rsidRPr="00956EDA">
        <w:rPr>
          <w:rFonts w:eastAsia="Times New Roman" w:cstheme="minorHAnsi"/>
          <w:bCs/>
        </w:rPr>
        <w:t>They</w:t>
      </w:r>
      <w:r w:rsidRPr="00956EDA">
        <w:rPr>
          <w:rFonts w:eastAsia="Times New Roman" w:cstheme="minorHAnsi"/>
          <w:bCs/>
        </w:rPr>
        <w:t xml:space="preserve"> have a sense of responsibility for all students and </w:t>
      </w:r>
      <w:r w:rsidR="00883989" w:rsidRPr="00956EDA">
        <w:rPr>
          <w:rFonts w:eastAsia="Times New Roman" w:cstheme="minorHAnsi"/>
          <w:bCs/>
        </w:rPr>
        <w:t>work individually and together</w:t>
      </w:r>
      <w:r w:rsidRPr="00956EDA">
        <w:rPr>
          <w:rFonts w:eastAsia="Times New Roman" w:cstheme="minorHAnsi"/>
          <w:bCs/>
        </w:rPr>
        <w:t xml:space="preserve"> to </w:t>
      </w:r>
      <w:r w:rsidR="00DA707F" w:rsidRPr="00956EDA">
        <w:rPr>
          <w:rFonts w:eastAsia="Times New Roman" w:cstheme="minorHAnsi"/>
          <w:bCs/>
        </w:rPr>
        <w:t xml:space="preserve">ensure </w:t>
      </w:r>
      <w:r w:rsidRPr="00956EDA">
        <w:rPr>
          <w:rFonts w:eastAsia="Times New Roman" w:cstheme="minorHAnsi"/>
          <w:bCs/>
        </w:rPr>
        <w:t xml:space="preserve">that students with varied needs and backgrounds </w:t>
      </w:r>
      <w:r w:rsidRPr="00956EDA">
        <w:rPr>
          <w:rFonts w:cstheme="minorHAnsi"/>
        </w:rPr>
        <w:t xml:space="preserve">(e.g., disability, cultural, language, racial, </w:t>
      </w:r>
      <w:r w:rsidR="00E80417" w:rsidRPr="00956EDA">
        <w:rPr>
          <w:rFonts w:cstheme="minorHAnsi"/>
        </w:rPr>
        <w:t xml:space="preserve">and </w:t>
      </w:r>
      <w:r w:rsidRPr="00956EDA">
        <w:rPr>
          <w:rFonts w:cstheme="minorHAnsi"/>
        </w:rPr>
        <w:t>socioeco</w:t>
      </w:r>
      <w:r w:rsidR="000D5389" w:rsidRPr="00956EDA">
        <w:rPr>
          <w:rFonts w:cstheme="minorHAnsi"/>
        </w:rPr>
        <w:t xml:space="preserve">nomic) have access to equitable </w:t>
      </w:r>
      <w:r w:rsidRPr="00956EDA">
        <w:rPr>
          <w:rFonts w:cstheme="minorHAnsi"/>
        </w:rPr>
        <w:t xml:space="preserve">learning opportunities.  </w:t>
      </w:r>
    </w:p>
    <w:p w14:paraId="6B7C47EC" w14:textId="77777777" w:rsidR="001F22FD" w:rsidRPr="00956EDA" w:rsidRDefault="001F22FD" w:rsidP="00DA707F">
      <w:pPr>
        <w:spacing w:after="0"/>
        <w:rPr>
          <w:rFonts w:cstheme="minorHAnsi"/>
        </w:rPr>
      </w:pPr>
    </w:p>
    <w:p w14:paraId="19E00A25" w14:textId="77777777" w:rsidR="001F22FD" w:rsidRPr="00956EDA" w:rsidRDefault="001F22FD" w:rsidP="001F22FD">
      <w:pPr>
        <w:spacing w:after="0"/>
        <w:rPr>
          <w:rFonts w:cstheme="minorHAnsi"/>
        </w:rPr>
      </w:pPr>
      <w:r w:rsidRPr="00956EDA">
        <w:rPr>
          <w:rFonts w:cstheme="minorHAnsi"/>
        </w:rPr>
        <w:t>Further, leadership should be transformative; it should involve innovation, reform and advocacy that results in opportunity and achievement for all students. As such, transformational educational leadership “begins with questions of social justice and democracy, critiques inequitable practices, and addresses both individual and public good” (Shields, 2010, p. 558).  It “involves one’s engaging in self-reflection, systematically analyzing schools, and then confronting inequities regarding race, class, gender, language, ability, and/or sexual orientation” (Cooper, 2009, p. 696).</w:t>
      </w:r>
    </w:p>
    <w:p w14:paraId="42F1E603" w14:textId="77777777" w:rsidR="002D4ED9" w:rsidRPr="00956EDA" w:rsidRDefault="002D4ED9" w:rsidP="00DA707F">
      <w:pPr>
        <w:spacing w:after="0"/>
        <w:rPr>
          <w:rFonts w:cstheme="minorHAnsi"/>
        </w:rPr>
      </w:pPr>
    </w:p>
    <w:p w14:paraId="5511E03F" w14:textId="77777777" w:rsidR="00787FB7" w:rsidRPr="00956EDA" w:rsidRDefault="00697AEF" w:rsidP="006B23FE">
      <w:pPr>
        <w:spacing w:after="0"/>
        <w:rPr>
          <w:rFonts w:cstheme="minorHAnsi"/>
        </w:rPr>
      </w:pPr>
      <w:r w:rsidRPr="00956EDA">
        <w:rPr>
          <w:rFonts w:cstheme="minorHAnsi"/>
          <w:b/>
          <w:i/>
        </w:rPr>
        <w:t xml:space="preserve">Our Practices. </w:t>
      </w:r>
      <w:r w:rsidRPr="00956EDA">
        <w:rPr>
          <w:rFonts w:cstheme="minorHAnsi"/>
        </w:rPr>
        <w:t xml:space="preserve">At UNCG, our developing leaders have opportunities </w:t>
      </w:r>
      <w:r w:rsidR="00C2771C" w:rsidRPr="00956EDA">
        <w:rPr>
          <w:rFonts w:cstheme="minorHAnsi"/>
        </w:rPr>
        <w:t>in</w:t>
      </w:r>
      <w:r w:rsidRPr="00956EDA">
        <w:rPr>
          <w:rFonts w:cstheme="minorHAnsi"/>
        </w:rPr>
        <w:t xml:space="preserve"> their coursework and field experiences to develop the</w:t>
      </w:r>
      <w:r w:rsidR="00643A34" w:rsidRPr="00956EDA">
        <w:rPr>
          <w:rFonts w:cstheme="minorHAnsi"/>
        </w:rPr>
        <w:t xml:space="preserve"> knowledge, </w:t>
      </w:r>
      <w:r w:rsidRPr="00956EDA">
        <w:rPr>
          <w:rFonts w:cstheme="minorHAnsi"/>
        </w:rPr>
        <w:t>skills</w:t>
      </w:r>
      <w:r w:rsidR="00643A34" w:rsidRPr="00956EDA">
        <w:rPr>
          <w:rFonts w:cstheme="minorHAnsi"/>
        </w:rPr>
        <w:t xml:space="preserve"> and</w:t>
      </w:r>
      <w:r w:rsidRPr="00956EDA">
        <w:rPr>
          <w:rFonts w:cstheme="minorHAnsi"/>
        </w:rPr>
        <w:t xml:space="preserve"> </w:t>
      </w:r>
      <w:r w:rsidR="00643A34" w:rsidRPr="00956EDA">
        <w:rPr>
          <w:rFonts w:cstheme="minorHAnsi"/>
        </w:rPr>
        <w:t xml:space="preserve">dispositions </w:t>
      </w:r>
      <w:r w:rsidRPr="00956EDA">
        <w:rPr>
          <w:rFonts w:cstheme="minorHAnsi"/>
        </w:rPr>
        <w:t>necessary to interact effectively and productively with others. Throughout their progr</w:t>
      </w:r>
      <w:r w:rsidR="00E6727B" w:rsidRPr="00956EDA">
        <w:rPr>
          <w:rFonts w:cstheme="minorHAnsi"/>
        </w:rPr>
        <w:t xml:space="preserve">ams, they practice </w:t>
      </w:r>
      <w:r w:rsidRPr="00956EDA">
        <w:rPr>
          <w:rFonts w:cstheme="minorHAnsi"/>
        </w:rPr>
        <w:t>interpersonal, decision-making and problem-solving skills by working closely with professionals, students and families in a range of schoo</w:t>
      </w:r>
      <w:r w:rsidR="00E6727B" w:rsidRPr="00956EDA">
        <w:rPr>
          <w:rFonts w:cstheme="minorHAnsi"/>
        </w:rPr>
        <w:t xml:space="preserve">l and community settings and </w:t>
      </w:r>
      <w:r w:rsidRPr="00956EDA">
        <w:rPr>
          <w:rFonts w:cstheme="minorHAnsi"/>
        </w:rPr>
        <w:t xml:space="preserve">receive feedback about their progress. They are encouraged to participate as members of professional organizations and </w:t>
      </w:r>
      <w:r w:rsidR="00E6727B" w:rsidRPr="00956EDA">
        <w:rPr>
          <w:rFonts w:cstheme="minorHAnsi"/>
        </w:rPr>
        <w:t xml:space="preserve">to </w:t>
      </w:r>
      <w:r w:rsidR="003674A0" w:rsidRPr="00956EDA">
        <w:rPr>
          <w:rFonts w:cstheme="minorHAnsi"/>
        </w:rPr>
        <w:t xml:space="preserve">communicate with </w:t>
      </w:r>
      <w:r w:rsidRPr="00956EDA">
        <w:rPr>
          <w:rFonts w:cstheme="minorHAnsi"/>
        </w:rPr>
        <w:t>policy-makers about the priorities and needs in their fields.</w:t>
      </w:r>
      <w:r w:rsidR="00EC19CF" w:rsidRPr="00956EDA">
        <w:rPr>
          <w:rFonts w:cstheme="minorHAnsi"/>
        </w:rPr>
        <w:t xml:space="preserve"> All </w:t>
      </w:r>
      <w:r w:rsidR="00457A87" w:rsidRPr="00956EDA">
        <w:rPr>
          <w:rFonts w:cstheme="minorHAnsi"/>
        </w:rPr>
        <w:t xml:space="preserve">initial licensure </w:t>
      </w:r>
      <w:r w:rsidR="00D80D8F" w:rsidRPr="00956EDA">
        <w:rPr>
          <w:rFonts w:cstheme="minorHAnsi"/>
        </w:rPr>
        <w:t xml:space="preserve">teacher </w:t>
      </w:r>
      <w:r w:rsidR="00EC19CF" w:rsidRPr="00956EDA">
        <w:rPr>
          <w:rFonts w:cstheme="minorHAnsi"/>
        </w:rPr>
        <w:t xml:space="preserve">candidates demonstrate leadership through a major </w:t>
      </w:r>
      <w:r w:rsidR="003674A0" w:rsidRPr="00956EDA">
        <w:rPr>
          <w:rFonts w:cstheme="minorHAnsi"/>
        </w:rPr>
        <w:t xml:space="preserve">school </w:t>
      </w:r>
      <w:r w:rsidR="00344B6A" w:rsidRPr="00956EDA">
        <w:rPr>
          <w:rFonts w:cstheme="minorHAnsi"/>
        </w:rPr>
        <w:t xml:space="preserve">or agency </w:t>
      </w:r>
      <w:r w:rsidR="003674A0" w:rsidRPr="00956EDA">
        <w:rPr>
          <w:rFonts w:cstheme="minorHAnsi"/>
        </w:rPr>
        <w:t xml:space="preserve">improvement </w:t>
      </w:r>
      <w:r w:rsidR="00EC19CF" w:rsidRPr="00956EDA">
        <w:rPr>
          <w:rFonts w:cstheme="minorHAnsi"/>
        </w:rPr>
        <w:t>leadership project.</w:t>
      </w:r>
      <w:r w:rsidR="002826D3" w:rsidRPr="00956EDA">
        <w:rPr>
          <w:rFonts w:cstheme="minorHAnsi"/>
        </w:rPr>
        <w:t xml:space="preserve"> </w:t>
      </w:r>
      <w:r w:rsidR="00D80D8F" w:rsidRPr="00956EDA">
        <w:rPr>
          <w:rFonts w:cstheme="minorHAnsi"/>
        </w:rPr>
        <w:t>C</w:t>
      </w:r>
      <w:r w:rsidR="00787FB7" w:rsidRPr="00956EDA">
        <w:rPr>
          <w:rFonts w:cstheme="minorHAnsi"/>
        </w:rPr>
        <w:t xml:space="preserve">andidates in </w:t>
      </w:r>
      <w:r w:rsidR="00344B6A" w:rsidRPr="00956EDA">
        <w:rPr>
          <w:rFonts w:cstheme="minorHAnsi"/>
        </w:rPr>
        <w:t>advanced licensure</w:t>
      </w:r>
      <w:r w:rsidR="00E6727B" w:rsidRPr="00956EDA">
        <w:rPr>
          <w:rFonts w:cstheme="minorHAnsi"/>
        </w:rPr>
        <w:t xml:space="preserve"> programs demonstrate </w:t>
      </w:r>
      <w:r w:rsidR="002D4ED9" w:rsidRPr="00956EDA">
        <w:rPr>
          <w:rFonts w:cstheme="minorHAnsi"/>
        </w:rPr>
        <w:t xml:space="preserve">leadership </w:t>
      </w:r>
      <w:r w:rsidR="00787FB7" w:rsidRPr="00956EDA">
        <w:rPr>
          <w:rFonts w:cstheme="minorHAnsi"/>
        </w:rPr>
        <w:t>skills</w:t>
      </w:r>
      <w:r w:rsidR="00E559AA" w:rsidRPr="00956EDA">
        <w:rPr>
          <w:rFonts w:cstheme="minorHAnsi"/>
        </w:rPr>
        <w:t xml:space="preserve"> through </w:t>
      </w:r>
      <w:r w:rsidR="00D80D8F" w:rsidRPr="00956EDA">
        <w:rPr>
          <w:rFonts w:cstheme="minorHAnsi"/>
        </w:rPr>
        <w:t xml:space="preserve">course or capstone </w:t>
      </w:r>
      <w:r w:rsidR="00E559AA" w:rsidRPr="00956EDA">
        <w:rPr>
          <w:rFonts w:cstheme="minorHAnsi"/>
        </w:rPr>
        <w:t>projects</w:t>
      </w:r>
      <w:r w:rsidR="00E6727B" w:rsidRPr="00956EDA">
        <w:rPr>
          <w:rFonts w:cstheme="minorHAnsi"/>
        </w:rPr>
        <w:t>,</w:t>
      </w:r>
      <w:r w:rsidR="00E559AA" w:rsidRPr="00956EDA">
        <w:rPr>
          <w:rFonts w:cstheme="minorHAnsi"/>
        </w:rPr>
        <w:t xml:space="preserve"> such as</w:t>
      </w:r>
      <w:r w:rsidR="00787FB7" w:rsidRPr="00956EDA">
        <w:rPr>
          <w:rFonts w:cstheme="minorHAnsi"/>
        </w:rPr>
        <w:t xml:space="preserve"> developing preventative and developmentally </w:t>
      </w:r>
      <w:r w:rsidR="00E559AA" w:rsidRPr="00956EDA">
        <w:rPr>
          <w:rFonts w:cstheme="minorHAnsi"/>
        </w:rPr>
        <w:t xml:space="preserve">appropriate counseling programs; </w:t>
      </w:r>
      <w:r w:rsidR="00787FB7" w:rsidRPr="00956EDA">
        <w:rPr>
          <w:rFonts w:cstheme="minorHAnsi"/>
        </w:rPr>
        <w:t xml:space="preserve"> interacting with State-level policy makers</w:t>
      </w:r>
      <w:r w:rsidR="00AB065B" w:rsidRPr="00956EDA">
        <w:rPr>
          <w:rFonts w:cstheme="minorHAnsi"/>
        </w:rPr>
        <w:t xml:space="preserve">; </w:t>
      </w:r>
      <w:r w:rsidR="00787FB7" w:rsidRPr="00956EDA">
        <w:rPr>
          <w:rFonts w:cstheme="minorHAnsi"/>
        </w:rPr>
        <w:t>and</w:t>
      </w:r>
      <w:r w:rsidR="00AB065B" w:rsidRPr="00956EDA">
        <w:rPr>
          <w:rFonts w:cstheme="minorHAnsi"/>
        </w:rPr>
        <w:t xml:space="preserve"> </w:t>
      </w:r>
      <w:r w:rsidR="00787FB7" w:rsidRPr="00956EDA">
        <w:rPr>
          <w:rFonts w:cstheme="minorHAnsi"/>
        </w:rPr>
        <w:t>develop</w:t>
      </w:r>
      <w:r w:rsidR="00AB065B" w:rsidRPr="00956EDA">
        <w:rPr>
          <w:rFonts w:cstheme="minorHAnsi"/>
        </w:rPr>
        <w:t>ing</w:t>
      </w:r>
      <w:r w:rsidR="00787FB7" w:rsidRPr="00956EDA">
        <w:rPr>
          <w:rFonts w:cstheme="minorHAnsi"/>
        </w:rPr>
        <w:t xml:space="preserve"> school-based projects </w:t>
      </w:r>
      <w:r w:rsidR="00D80D8F" w:rsidRPr="00956EDA">
        <w:rPr>
          <w:rFonts w:cstheme="minorHAnsi"/>
        </w:rPr>
        <w:t>that improve</w:t>
      </w:r>
      <w:r w:rsidR="00787FB7" w:rsidRPr="00956EDA">
        <w:rPr>
          <w:rFonts w:cstheme="minorHAnsi"/>
        </w:rPr>
        <w:t xml:space="preserve"> student academic performance, hel</w:t>
      </w:r>
      <w:r w:rsidR="00D80D8F" w:rsidRPr="00956EDA">
        <w:rPr>
          <w:rFonts w:cstheme="minorHAnsi"/>
        </w:rPr>
        <w:t>p</w:t>
      </w:r>
      <w:r w:rsidR="00787FB7" w:rsidRPr="00956EDA">
        <w:rPr>
          <w:rFonts w:cstheme="minorHAnsi"/>
        </w:rPr>
        <w:t xml:space="preserve"> teachers develop profes</w:t>
      </w:r>
      <w:r w:rsidR="00E03BEA" w:rsidRPr="00956EDA">
        <w:rPr>
          <w:rFonts w:cstheme="minorHAnsi"/>
        </w:rPr>
        <w:t>sional learning communities, or engage</w:t>
      </w:r>
      <w:r w:rsidR="00787FB7" w:rsidRPr="00956EDA">
        <w:rPr>
          <w:rFonts w:cstheme="minorHAnsi"/>
        </w:rPr>
        <w:t xml:space="preserve"> community stakeholders in  practices that allow schools to function democratically</w:t>
      </w:r>
      <w:r w:rsidR="00B43398" w:rsidRPr="00956EDA">
        <w:rPr>
          <w:rFonts w:cstheme="minorHAnsi"/>
        </w:rPr>
        <w:t xml:space="preserve"> </w:t>
      </w:r>
      <w:r w:rsidR="00787FB7" w:rsidRPr="00956EDA">
        <w:rPr>
          <w:rFonts w:cstheme="minorHAnsi"/>
        </w:rPr>
        <w:t>.</w:t>
      </w:r>
    </w:p>
    <w:p w14:paraId="29D4C4F4" w14:textId="77777777" w:rsidR="00643A34" w:rsidRPr="00956EDA" w:rsidRDefault="00643A34" w:rsidP="00643A34">
      <w:pPr>
        <w:spacing w:after="0"/>
        <w:rPr>
          <w:rFonts w:cstheme="minorHAnsi"/>
        </w:rPr>
      </w:pPr>
    </w:p>
    <w:p w14:paraId="629485FA" w14:textId="77777777" w:rsidR="00643A34" w:rsidRPr="00956EDA" w:rsidRDefault="00D26E1C" w:rsidP="00643A34">
      <w:pPr>
        <w:tabs>
          <w:tab w:val="left" w:pos="2730"/>
        </w:tabs>
        <w:spacing w:after="0"/>
        <w:rPr>
          <w:rFonts w:cstheme="minorHAnsi"/>
          <w:b/>
        </w:rPr>
      </w:pPr>
      <w:r w:rsidRPr="00956EDA">
        <w:rPr>
          <w:rFonts w:eastAsia="Times New Roman" w:cstheme="minorHAnsi"/>
          <w:b/>
          <w:bCs/>
        </w:rPr>
        <w:lastRenderedPageBreak/>
        <w:t xml:space="preserve">Professional Focus II: </w:t>
      </w:r>
      <w:r w:rsidR="00107E33" w:rsidRPr="00956EDA">
        <w:rPr>
          <w:rFonts w:cstheme="minorHAnsi"/>
          <w:b/>
        </w:rPr>
        <w:t>Professional</w:t>
      </w:r>
      <w:r w:rsidR="003D0190" w:rsidRPr="00956EDA">
        <w:rPr>
          <w:rFonts w:cstheme="minorHAnsi"/>
          <w:b/>
        </w:rPr>
        <w:t xml:space="preserve"> Knowledge</w:t>
      </w:r>
    </w:p>
    <w:p w14:paraId="76E4B0A4" w14:textId="77777777" w:rsidR="003D0190" w:rsidRPr="00956EDA" w:rsidRDefault="003D0190" w:rsidP="00643A34">
      <w:pPr>
        <w:tabs>
          <w:tab w:val="left" w:pos="2730"/>
        </w:tabs>
        <w:spacing w:after="0"/>
        <w:rPr>
          <w:rFonts w:cstheme="minorHAnsi"/>
          <w:b/>
        </w:rPr>
      </w:pPr>
      <w:r w:rsidRPr="00956EDA">
        <w:rPr>
          <w:rFonts w:cstheme="minorHAnsi"/>
          <w:b/>
        </w:rPr>
        <w:tab/>
      </w:r>
    </w:p>
    <w:p w14:paraId="3E598834" w14:textId="77777777" w:rsidR="003D0190" w:rsidRPr="00956EDA" w:rsidRDefault="00760337" w:rsidP="00697AEF">
      <w:pPr>
        <w:rPr>
          <w:rFonts w:cstheme="minorHAnsi"/>
        </w:rPr>
      </w:pPr>
      <w:r w:rsidRPr="00956EDA">
        <w:rPr>
          <w:rFonts w:cstheme="minorHAnsi"/>
          <w:b/>
          <w:i/>
        </w:rPr>
        <w:t xml:space="preserve">Our Commitments. </w:t>
      </w:r>
      <w:r w:rsidR="00CB0865" w:rsidRPr="00956EDA">
        <w:rPr>
          <w:rFonts w:cstheme="minorHAnsi"/>
        </w:rPr>
        <w:t>Content k</w:t>
      </w:r>
      <w:r w:rsidR="00BF4849" w:rsidRPr="00956EDA">
        <w:rPr>
          <w:rFonts w:cstheme="minorHAnsi"/>
        </w:rPr>
        <w:t xml:space="preserve">nowledge is a </w:t>
      </w:r>
      <w:r w:rsidR="003D0190" w:rsidRPr="00956EDA">
        <w:rPr>
          <w:rFonts w:cstheme="minorHAnsi"/>
        </w:rPr>
        <w:t>key element required to build the capacity of the graduates of UNCG’s preparation programs to be effective professionals.</w:t>
      </w:r>
      <w:r w:rsidR="00BF4849" w:rsidRPr="00956EDA">
        <w:rPr>
          <w:rFonts w:cstheme="minorHAnsi"/>
        </w:rPr>
        <w:t xml:space="preserve"> Undergraduates are grounded in the </w:t>
      </w:r>
      <w:r w:rsidR="004E5020" w:rsidRPr="00956EDA">
        <w:rPr>
          <w:rFonts w:cstheme="minorHAnsi"/>
        </w:rPr>
        <w:t>arts and sciences</w:t>
      </w:r>
      <w:r w:rsidR="00BF4849" w:rsidRPr="00956EDA">
        <w:rPr>
          <w:rFonts w:cstheme="minorHAnsi"/>
        </w:rPr>
        <w:t>, literacy and global perspectives. They must have acceptable grade point averages and appropriate coursework</w:t>
      </w:r>
      <w:r w:rsidR="002D4ED9" w:rsidRPr="00956EDA">
        <w:rPr>
          <w:rFonts w:cstheme="minorHAnsi"/>
        </w:rPr>
        <w:t xml:space="preserve">, including majors or concentrations in their subject areas for middle grades and secondary education candidates, </w:t>
      </w:r>
      <w:r w:rsidR="00BF4849" w:rsidRPr="00956EDA">
        <w:rPr>
          <w:rFonts w:cstheme="minorHAnsi"/>
        </w:rPr>
        <w:t xml:space="preserve">before being admitted to professional education. Graduate students </w:t>
      </w:r>
      <w:r w:rsidR="00643A34" w:rsidRPr="00956EDA">
        <w:rPr>
          <w:rFonts w:cstheme="minorHAnsi"/>
        </w:rPr>
        <w:t xml:space="preserve">must </w:t>
      </w:r>
      <w:r w:rsidR="00BF4849" w:rsidRPr="00956EDA">
        <w:rPr>
          <w:rFonts w:cstheme="minorHAnsi"/>
        </w:rPr>
        <w:t xml:space="preserve">demonstrate </w:t>
      </w:r>
      <w:r w:rsidR="00E03BEA" w:rsidRPr="00956EDA">
        <w:rPr>
          <w:rFonts w:cstheme="minorHAnsi"/>
        </w:rPr>
        <w:t>prerequisite</w:t>
      </w:r>
      <w:r w:rsidR="00BF4849" w:rsidRPr="00956EDA">
        <w:rPr>
          <w:rFonts w:cstheme="minorHAnsi"/>
        </w:rPr>
        <w:t xml:space="preserve"> content knowledge </w:t>
      </w:r>
      <w:r w:rsidR="00E03BEA" w:rsidRPr="00956EDA">
        <w:rPr>
          <w:rFonts w:cstheme="minorHAnsi"/>
        </w:rPr>
        <w:t xml:space="preserve">and academic ability </w:t>
      </w:r>
      <w:r w:rsidR="00CB0865" w:rsidRPr="00956EDA">
        <w:rPr>
          <w:rFonts w:cstheme="minorHAnsi"/>
        </w:rPr>
        <w:t>through documentation of previous degrees</w:t>
      </w:r>
      <w:r w:rsidR="002D4ED9" w:rsidRPr="00956EDA">
        <w:rPr>
          <w:rFonts w:cstheme="minorHAnsi"/>
        </w:rPr>
        <w:t xml:space="preserve"> and GRE scores. They </w:t>
      </w:r>
      <w:r w:rsidR="00BF4849" w:rsidRPr="00956EDA">
        <w:rPr>
          <w:rFonts w:cstheme="minorHAnsi"/>
        </w:rPr>
        <w:t>continue to deepen and broaden the</w:t>
      </w:r>
      <w:r w:rsidR="00CB0865" w:rsidRPr="00956EDA">
        <w:rPr>
          <w:rFonts w:cstheme="minorHAnsi"/>
        </w:rPr>
        <w:t xml:space="preserve">ir knowledge as </w:t>
      </w:r>
      <w:r w:rsidR="00BF4849" w:rsidRPr="00956EDA">
        <w:rPr>
          <w:rFonts w:cstheme="minorHAnsi"/>
        </w:rPr>
        <w:t xml:space="preserve">they move through their programs. Moreover, </w:t>
      </w:r>
      <w:r w:rsidR="00345B46" w:rsidRPr="00956EDA">
        <w:rPr>
          <w:rFonts w:cstheme="minorHAnsi"/>
        </w:rPr>
        <w:t xml:space="preserve">our </w:t>
      </w:r>
      <w:r w:rsidR="00CB0865" w:rsidRPr="00956EDA">
        <w:rPr>
          <w:rFonts w:cstheme="minorHAnsi"/>
        </w:rPr>
        <w:t>candidates</w:t>
      </w:r>
      <w:r w:rsidR="00BF4849" w:rsidRPr="00956EDA">
        <w:rPr>
          <w:rFonts w:cstheme="minorHAnsi"/>
        </w:rPr>
        <w:t xml:space="preserve"> </w:t>
      </w:r>
      <w:r w:rsidR="00EE680A" w:rsidRPr="00956EDA">
        <w:rPr>
          <w:rFonts w:cstheme="minorHAnsi"/>
        </w:rPr>
        <w:t xml:space="preserve">must </w:t>
      </w:r>
      <w:r w:rsidR="00BF4849" w:rsidRPr="00956EDA">
        <w:rPr>
          <w:rFonts w:cstheme="minorHAnsi"/>
        </w:rPr>
        <w:t>demonstrate not just mastery of an information base, but understandi</w:t>
      </w:r>
      <w:r w:rsidR="000D6722" w:rsidRPr="00956EDA">
        <w:rPr>
          <w:rFonts w:cstheme="minorHAnsi"/>
        </w:rPr>
        <w:t xml:space="preserve">ngs about how their disciplines </w:t>
      </w:r>
      <w:r w:rsidR="00BF4849" w:rsidRPr="00956EDA">
        <w:rPr>
          <w:rFonts w:cstheme="minorHAnsi"/>
        </w:rPr>
        <w:t>acquire, process and apply knowledge.</w:t>
      </w:r>
      <w:r w:rsidR="00E03BEA" w:rsidRPr="00956EDA">
        <w:rPr>
          <w:rFonts w:cstheme="minorHAnsi"/>
        </w:rPr>
        <w:t xml:space="preserve"> UNCG is committed to preparing professionals who have broad understandings, discipline-specific knowledge and skills, and the ability to use their knowledge to make sound professional decisions.</w:t>
      </w:r>
    </w:p>
    <w:p w14:paraId="0BCAF9DA" w14:textId="77777777" w:rsidR="003D0190" w:rsidRPr="00956EDA" w:rsidRDefault="00760337" w:rsidP="00697AEF">
      <w:pPr>
        <w:rPr>
          <w:rFonts w:cstheme="minorHAnsi"/>
        </w:rPr>
      </w:pPr>
      <w:r w:rsidRPr="00956EDA">
        <w:rPr>
          <w:rFonts w:cstheme="minorHAnsi"/>
          <w:b/>
          <w:i/>
        </w:rPr>
        <w:t>Our Understandings.</w:t>
      </w:r>
      <w:r w:rsidRPr="00956EDA">
        <w:rPr>
          <w:rFonts w:cstheme="minorHAnsi"/>
        </w:rPr>
        <w:t xml:space="preserve"> </w:t>
      </w:r>
      <w:r w:rsidR="003D0190" w:rsidRPr="00956EDA">
        <w:rPr>
          <w:rFonts w:cstheme="minorHAnsi"/>
        </w:rPr>
        <w:t>The research on thinking and learning indicates that content knowledge encompasses a deep foundation of factual knowledge, understanding of how that knowledge fits in the conceptual framework of the field of study, and an internal organization of that knowledge that facilitates retrieval and application of knowledge (</w:t>
      </w:r>
      <w:r w:rsidR="00DF3C72" w:rsidRPr="00956EDA">
        <w:rPr>
          <w:rFonts w:cstheme="minorHAnsi"/>
        </w:rPr>
        <w:t>National Research Council</w:t>
      </w:r>
      <w:r w:rsidR="003D0190" w:rsidRPr="00956EDA">
        <w:rPr>
          <w:rFonts w:cstheme="minorHAnsi"/>
        </w:rPr>
        <w:t>, 2010, pg. 73).  This includes an understanding of individual development and the role that culture, language, class, exceptionalities, and race or ethnicity play in learning.</w:t>
      </w:r>
    </w:p>
    <w:p w14:paraId="04DFD433" w14:textId="77777777" w:rsidR="003D0190" w:rsidRPr="00956EDA" w:rsidRDefault="003D0190" w:rsidP="00697AEF">
      <w:pPr>
        <w:rPr>
          <w:rFonts w:cstheme="minorHAnsi"/>
        </w:rPr>
      </w:pPr>
      <w:r w:rsidRPr="00956EDA">
        <w:rPr>
          <w:rFonts w:cstheme="minorHAnsi"/>
        </w:rPr>
        <w:t xml:space="preserve">Content knowledge first gained prominence as a critical factor in professional </w:t>
      </w:r>
      <w:r w:rsidR="00234F5C" w:rsidRPr="00956EDA">
        <w:rPr>
          <w:rFonts w:cstheme="minorHAnsi"/>
        </w:rPr>
        <w:t>preparation programs in the mid-</w:t>
      </w:r>
      <w:r w:rsidRPr="00956EDA">
        <w:rPr>
          <w:rFonts w:cstheme="minorHAnsi"/>
        </w:rPr>
        <w:t>1980s with the work of Lee Shulman and his colleagues (Shulman, 1986; 1987).  In characterizing subject matter knowledge, Shulman argued “teachers must not only be capable of defining for students th</w:t>
      </w:r>
      <w:r w:rsidR="00643A34" w:rsidRPr="00956EDA">
        <w:rPr>
          <w:rFonts w:cstheme="minorHAnsi"/>
        </w:rPr>
        <w:t xml:space="preserve">e accepted truths in a domain. </w:t>
      </w:r>
      <w:r w:rsidRPr="00956EDA">
        <w:rPr>
          <w:rFonts w:cstheme="minorHAnsi"/>
        </w:rPr>
        <w:t xml:space="preserve">They must also be able to explain why a particular proposition is deemed warranted, why it is worth knowing, and how it relates to other propositions” (1986, p.9). Shulman and his colleagues also noted that as subject matter expertise is acquired, education professionals are also acquiring knowledge </w:t>
      </w:r>
      <w:r w:rsidRPr="00956EDA">
        <w:rPr>
          <w:rFonts w:cstheme="minorHAnsi"/>
          <w:i/>
        </w:rPr>
        <w:t>about</w:t>
      </w:r>
      <w:r w:rsidRPr="00956EDA">
        <w:rPr>
          <w:rFonts w:cstheme="minorHAnsi"/>
        </w:rPr>
        <w:t xml:space="preserve"> the subject, and dispositions </w:t>
      </w:r>
      <w:r w:rsidRPr="00956EDA">
        <w:rPr>
          <w:rFonts w:cstheme="minorHAnsi"/>
          <w:i/>
        </w:rPr>
        <w:t>toward</w:t>
      </w:r>
      <w:r w:rsidRPr="00956EDA">
        <w:rPr>
          <w:rFonts w:cstheme="minorHAnsi"/>
        </w:rPr>
        <w:t xml:space="preserve"> the subject.  It is this set of knowledge and dispositions that has a significant impact on professional practice and learning.  </w:t>
      </w:r>
      <w:r w:rsidR="002A66E0" w:rsidRPr="00956EDA">
        <w:rPr>
          <w:rFonts w:cstheme="minorHAnsi"/>
        </w:rPr>
        <w:t xml:space="preserve"> </w:t>
      </w:r>
    </w:p>
    <w:p w14:paraId="19DC5E41" w14:textId="77777777" w:rsidR="003D0190" w:rsidRPr="00956EDA" w:rsidRDefault="003D0190" w:rsidP="00697AEF">
      <w:pPr>
        <w:rPr>
          <w:rFonts w:cstheme="minorHAnsi"/>
        </w:rPr>
      </w:pPr>
      <w:r w:rsidRPr="00956EDA">
        <w:rPr>
          <w:rFonts w:cstheme="minorHAnsi"/>
        </w:rPr>
        <w:t xml:space="preserve">Knowledge </w:t>
      </w:r>
      <w:r w:rsidRPr="00956EDA">
        <w:rPr>
          <w:rFonts w:cstheme="minorHAnsi"/>
          <w:i/>
        </w:rPr>
        <w:t>about</w:t>
      </w:r>
      <w:r w:rsidRPr="00956EDA">
        <w:rPr>
          <w:rFonts w:cstheme="minorHAnsi"/>
        </w:rPr>
        <w:t xml:space="preserve"> a subject differs by subject matter, but may include the relative validity and centrality of different ideas or perspectives, the major disagreements within the field (past and present), how claims are justified and validated, what is entailed in doing and engaging in the discourse of the field.  Dispositions toward a subject refer to acquired </w:t>
      </w:r>
      <w:r w:rsidR="004E5020" w:rsidRPr="00956EDA">
        <w:rPr>
          <w:rFonts w:cstheme="minorHAnsi"/>
        </w:rPr>
        <w:t>preferences</w:t>
      </w:r>
      <w:r w:rsidRPr="00956EDA">
        <w:rPr>
          <w:rFonts w:cstheme="minorHAnsi"/>
        </w:rPr>
        <w:t xml:space="preserve"> for particular topics and activities, propensities to pursue certain questions and kinds of study and to avoid others.  At the same time, students develop conceptions of themselves as good at particular subjects and not at others.  These proclivities toward subject matter develop with increased expertise, whether or not they are explicit goals of that subject matter instruction.  </w:t>
      </w:r>
    </w:p>
    <w:p w14:paraId="3618A028" w14:textId="77777777" w:rsidR="003D0190" w:rsidRPr="00956EDA" w:rsidRDefault="003D0190" w:rsidP="00697AEF">
      <w:pPr>
        <w:widowControl w:val="0"/>
        <w:autoSpaceDE w:val="0"/>
        <w:autoSpaceDN w:val="0"/>
        <w:adjustRightInd w:val="0"/>
        <w:rPr>
          <w:rFonts w:cstheme="minorHAnsi"/>
        </w:rPr>
      </w:pPr>
      <w:r w:rsidRPr="00956EDA">
        <w:rPr>
          <w:rFonts w:cstheme="minorHAnsi"/>
        </w:rPr>
        <w:t xml:space="preserve">In 2000, the National Research Council (NRC) published its landmark report on advances in the science of learning entitled </w:t>
      </w:r>
      <w:r w:rsidRPr="00956EDA">
        <w:rPr>
          <w:rFonts w:cstheme="minorHAnsi"/>
          <w:i/>
        </w:rPr>
        <w:t>How People Learn</w:t>
      </w:r>
      <w:r w:rsidRPr="00956EDA">
        <w:rPr>
          <w:rFonts w:cstheme="minorHAnsi"/>
        </w:rPr>
        <w:t xml:space="preserve">.  This report concluded that “To develop competence in an area of inquiry, students must: (a) have a deep foundation of factual knowledge, (b) understand facts and ideas </w:t>
      </w:r>
      <w:r w:rsidRPr="00956EDA">
        <w:rPr>
          <w:rFonts w:cstheme="minorHAnsi"/>
        </w:rPr>
        <w:lastRenderedPageBreak/>
        <w:t xml:space="preserve">in the context of a conceptual framework, and (c) organize knowledge in ways that facilitate retrieval and application” (NRC, 2000, p. 16).  </w:t>
      </w:r>
      <w:r w:rsidRPr="00956EDA">
        <w:rPr>
          <w:rFonts w:cstheme="minorHAnsi"/>
          <w:i/>
        </w:rPr>
        <w:t>How People Learn</w:t>
      </w:r>
      <w:r w:rsidRPr="00956EDA">
        <w:rPr>
          <w:rFonts w:cstheme="minorHAnsi"/>
        </w:rPr>
        <w:t xml:space="preserve"> describes the critical distinction between novices and experts in any context and how the development of expertise is gradual. With continued learning in any field—technology, physics, or American literature—individuals gradually accumulate “extensive knowledge that affects what they notice and how they organize, represent, and interpret information” and this accumulation, in turn, “affects their ability to remember, reason, and solve problems” (NRC, 2000, p. 19). </w:t>
      </w:r>
    </w:p>
    <w:p w14:paraId="69C4EF60" w14:textId="77777777" w:rsidR="003D0190" w:rsidRPr="00956EDA" w:rsidRDefault="002C6442" w:rsidP="00697AEF">
      <w:pPr>
        <w:rPr>
          <w:rFonts w:cstheme="minorHAnsi"/>
        </w:rPr>
      </w:pPr>
      <w:r w:rsidRPr="00956EDA">
        <w:rPr>
          <w:rFonts w:cstheme="minorHAnsi"/>
          <w:i/>
        </w:rPr>
        <w:t>How People Learn</w:t>
      </w:r>
      <w:r w:rsidR="003D0190" w:rsidRPr="00956EDA">
        <w:rPr>
          <w:rFonts w:cstheme="minorHAnsi"/>
          <w:i/>
        </w:rPr>
        <w:t xml:space="preserve"> </w:t>
      </w:r>
      <w:r w:rsidR="003D0190" w:rsidRPr="00956EDA">
        <w:rPr>
          <w:rFonts w:cstheme="minorHAnsi"/>
        </w:rPr>
        <w:t xml:space="preserve">was followed by </w:t>
      </w:r>
      <w:r w:rsidR="003D0190" w:rsidRPr="00956EDA">
        <w:rPr>
          <w:rFonts w:cstheme="minorHAnsi"/>
          <w:i/>
        </w:rPr>
        <w:t xml:space="preserve">How Students Learn </w:t>
      </w:r>
      <w:r w:rsidR="003D0190" w:rsidRPr="00956EDA">
        <w:rPr>
          <w:rFonts w:cstheme="minorHAnsi"/>
        </w:rPr>
        <w:t>(NRC, 2005)</w:t>
      </w:r>
      <w:r w:rsidR="003D0190" w:rsidRPr="00956EDA">
        <w:rPr>
          <w:rFonts w:cstheme="minorHAnsi"/>
          <w:i/>
        </w:rPr>
        <w:t xml:space="preserve">, </w:t>
      </w:r>
      <w:r w:rsidR="003D0190" w:rsidRPr="00956EDA">
        <w:rPr>
          <w:rFonts w:cstheme="minorHAnsi"/>
        </w:rPr>
        <w:t>which focused on instruction in the cl</w:t>
      </w:r>
      <w:r w:rsidR="00BF4849" w:rsidRPr="00956EDA">
        <w:rPr>
          <w:rFonts w:cstheme="minorHAnsi"/>
        </w:rPr>
        <w:t xml:space="preserve">assroom. </w:t>
      </w:r>
      <w:r w:rsidR="003D0190" w:rsidRPr="00956EDA">
        <w:rPr>
          <w:rFonts w:cstheme="minorHAnsi"/>
        </w:rPr>
        <w:t>This report explained that experts do not just know more facts in a given area than non-</w:t>
      </w:r>
      <w:r w:rsidR="00956AB3" w:rsidRPr="00956EDA">
        <w:rPr>
          <w:rFonts w:cstheme="minorHAnsi"/>
        </w:rPr>
        <w:t>experts;</w:t>
      </w:r>
      <w:r w:rsidR="003D0190" w:rsidRPr="00956EDA">
        <w:rPr>
          <w:rFonts w:cstheme="minorHAnsi"/>
        </w:rPr>
        <w:t xml:space="preserve"> they also have a framework for understanding and applying what they know.  </w:t>
      </w:r>
      <w:r w:rsidR="003D0190" w:rsidRPr="00956EDA">
        <w:rPr>
          <w:rFonts w:cstheme="minorHAnsi"/>
          <w:i/>
        </w:rPr>
        <w:t>How Students Learn</w:t>
      </w:r>
      <w:r w:rsidR="003D0190" w:rsidRPr="00956EDA">
        <w:rPr>
          <w:rFonts w:cstheme="minorHAnsi"/>
        </w:rPr>
        <w:t xml:space="preserve"> described the essential linkage between factual knowledge and conceptual frameworks, termed learning with understanding—“competent performance is built on neither factual nor conceptual understanding alone; the concepts take on meaning in the knowledge-rich contexts in which they are applied” (p. 6).  This work suggests that content knowledge, defined as a body of conceptual and factual knowledge, is an essential basis for effective preparation in a given field.  But, as these reports make clear, having expertise, or deep content knowledge, is not a sufficient foundation by itself for effective teaching—necessary but not sufficient.</w:t>
      </w:r>
    </w:p>
    <w:p w14:paraId="432035B4" w14:textId="77777777" w:rsidR="002826D3" w:rsidRPr="00956EDA" w:rsidRDefault="00E03BEA" w:rsidP="002826D3">
      <w:pPr>
        <w:rPr>
          <w:rFonts w:cstheme="minorHAnsi"/>
        </w:rPr>
      </w:pPr>
      <w:r w:rsidRPr="00956EDA">
        <w:rPr>
          <w:rFonts w:cstheme="minorHAnsi"/>
        </w:rPr>
        <w:t xml:space="preserve">Non-teaching areas align with the same basic principles. Whether </w:t>
      </w:r>
      <w:r w:rsidR="004B2A16" w:rsidRPr="00956EDA">
        <w:rPr>
          <w:rFonts w:cstheme="minorHAnsi"/>
        </w:rPr>
        <w:t xml:space="preserve">they are </w:t>
      </w:r>
      <w:r w:rsidRPr="00956EDA">
        <w:rPr>
          <w:rFonts w:cstheme="minorHAnsi"/>
        </w:rPr>
        <w:t xml:space="preserve">school counselors, media specialist or other school-based professions, candidates must </w:t>
      </w:r>
      <w:r w:rsidR="002826D3" w:rsidRPr="00956EDA">
        <w:rPr>
          <w:rFonts w:cstheme="minorHAnsi"/>
        </w:rPr>
        <w:t>know the history, philosophy</w:t>
      </w:r>
      <w:r w:rsidR="004B2A16" w:rsidRPr="00956EDA">
        <w:rPr>
          <w:rFonts w:cstheme="minorHAnsi"/>
        </w:rPr>
        <w:t>, research</w:t>
      </w:r>
      <w:r w:rsidR="002826D3" w:rsidRPr="00956EDA">
        <w:rPr>
          <w:rFonts w:cstheme="minorHAnsi"/>
        </w:rPr>
        <w:t xml:space="preserve"> and trends of </w:t>
      </w:r>
      <w:r w:rsidRPr="00956EDA">
        <w:rPr>
          <w:rFonts w:cstheme="minorHAnsi"/>
        </w:rPr>
        <w:t xml:space="preserve">their disciplines </w:t>
      </w:r>
      <w:r w:rsidR="002826D3" w:rsidRPr="00956EDA">
        <w:rPr>
          <w:rFonts w:cstheme="minorHAnsi"/>
        </w:rPr>
        <w:t>and th</w:t>
      </w:r>
      <w:r w:rsidR="004B2A16" w:rsidRPr="00956EDA">
        <w:rPr>
          <w:rFonts w:cstheme="minorHAnsi"/>
        </w:rPr>
        <w:t xml:space="preserve">e educational system at large. </w:t>
      </w:r>
      <w:r w:rsidR="002826D3" w:rsidRPr="00956EDA">
        <w:rPr>
          <w:rFonts w:cstheme="minorHAnsi"/>
        </w:rPr>
        <w:t xml:space="preserve">They </w:t>
      </w:r>
      <w:r w:rsidR="004B2A16" w:rsidRPr="00956EDA">
        <w:rPr>
          <w:rFonts w:cstheme="minorHAnsi"/>
        </w:rPr>
        <w:t>must have deep understandings about their roles and the ways in which they can apply the</w:t>
      </w:r>
      <w:r w:rsidR="00EE680A" w:rsidRPr="00956EDA">
        <w:rPr>
          <w:rFonts w:cstheme="minorHAnsi"/>
        </w:rPr>
        <w:t xml:space="preserve">ir knowledge to support students </w:t>
      </w:r>
      <w:r w:rsidR="004B2A16" w:rsidRPr="00956EDA">
        <w:rPr>
          <w:rFonts w:cstheme="minorHAnsi"/>
        </w:rPr>
        <w:t xml:space="preserve">and other school professionals. </w:t>
      </w:r>
    </w:p>
    <w:p w14:paraId="45B90F96" w14:textId="77777777" w:rsidR="002826D3" w:rsidRPr="00956EDA" w:rsidRDefault="00E6727B" w:rsidP="00697AEF">
      <w:pPr>
        <w:rPr>
          <w:rFonts w:eastAsia="Times New Roman" w:cstheme="minorHAnsi"/>
          <w:bCs/>
        </w:rPr>
      </w:pPr>
      <w:r w:rsidRPr="00956EDA">
        <w:rPr>
          <w:rFonts w:cstheme="minorHAnsi"/>
          <w:b/>
          <w:i/>
        </w:rPr>
        <w:t xml:space="preserve">Our Practices. </w:t>
      </w:r>
      <w:r w:rsidR="00C87C31" w:rsidRPr="00956EDA">
        <w:rPr>
          <w:rFonts w:eastAsia="Times New Roman" w:cstheme="minorHAnsi"/>
          <w:bCs/>
        </w:rPr>
        <w:t xml:space="preserve">At the undergraduate level, candidates for teacher education and School Social Work must complete </w:t>
      </w:r>
      <w:r w:rsidR="00CA62F2" w:rsidRPr="00956EDA">
        <w:rPr>
          <w:rFonts w:eastAsia="Times New Roman" w:cstheme="minorHAnsi"/>
          <w:bCs/>
        </w:rPr>
        <w:t>36-49 semester</w:t>
      </w:r>
      <w:r w:rsidR="00C87C31" w:rsidRPr="00956EDA">
        <w:rPr>
          <w:rFonts w:eastAsia="Times New Roman" w:cstheme="minorHAnsi"/>
          <w:bCs/>
        </w:rPr>
        <w:t xml:space="preserve"> hours </w:t>
      </w:r>
      <w:r w:rsidR="00CA62F2" w:rsidRPr="00956EDA">
        <w:rPr>
          <w:rFonts w:eastAsia="Times New Roman" w:cstheme="minorHAnsi"/>
          <w:bCs/>
        </w:rPr>
        <w:t>(depending on the major) o</w:t>
      </w:r>
      <w:r w:rsidR="00C87C31" w:rsidRPr="00956EDA">
        <w:rPr>
          <w:rFonts w:eastAsia="Times New Roman" w:cstheme="minorHAnsi"/>
          <w:bCs/>
        </w:rPr>
        <w:t xml:space="preserve">f </w:t>
      </w:r>
      <w:r w:rsidR="00CA62F2" w:rsidRPr="00956EDA">
        <w:rPr>
          <w:rFonts w:eastAsia="Times New Roman" w:cstheme="minorHAnsi"/>
          <w:bCs/>
        </w:rPr>
        <w:t>general education studies</w:t>
      </w:r>
      <w:r w:rsidR="00C87C31" w:rsidRPr="00956EDA">
        <w:rPr>
          <w:rFonts w:eastAsia="Times New Roman" w:cstheme="minorHAnsi"/>
          <w:bCs/>
        </w:rPr>
        <w:t xml:space="preserve">, which include coursework from the humanities and sciences, along with reading and writing intensive courses. </w:t>
      </w:r>
      <w:r w:rsidR="00E52879" w:rsidRPr="00956EDA">
        <w:rPr>
          <w:rFonts w:eastAsia="Times New Roman" w:cstheme="minorHAnsi"/>
          <w:bCs/>
        </w:rPr>
        <w:t>All</w:t>
      </w:r>
      <w:r w:rsidR="00C87C31" w:rsidRPr="00956EDA">
        <w:rPr>
          <w:rFonts w:eastAsia="Times New Roman" w:cstheme="minorHAnsi"/>
          <w:bCs/>
        </w:rPr>
        <w:t xml:space="preserve"> demonstrate their readiness for professional education programs by earning a minimum 2.5 GPA on a 4-point sca</w:t>
      </w:r>
      <w:r w:rsidR="00E52879" w:rsidRPr="00956EDA">
        <w:rPr>
          <w:rFonts w:eastAsia="Times New Roman" w:cstheme="minorHAnsi"/>
          <w:bCs/>
        </w:rPr>
        <w:t>le, or higher in many programs, and teacher candidates also earn</w:t>
      </w:r>
      <w:r w:rsidR="00C87C31" w:rsidRPr="00956EDA">
        <w:rPr>
          <w:rFonts w:eastAsia="Times New Roman" w:cstheme="minorHAnsi"/>
          <w:bCs/>
        </w:rPr>
        <w:t xml:space="preserve"> North Carolina passing scores on the Praxis I before they can be admitted to professional education.  Subsequently, they take coursework, including methods courses and student teaching</w:t>
      </w:r>
      <w:r w:rsidR="009F3110" w:rsidRPr="00956EDA">
        <w:rPr>
          <w:rFonts w:eastAsia="Times New Roman" w:cstheme="minorHAnsi"/>
          <w:bCs/>
        </w:rPr>
        <w:t xml:space="preserve"> (or internships, in the case of School Social Work candidates)</w:t>
      </w:r>
      <w:r w:rsidR="004B2A16" w:rsidRPr="00956EDA">
        <w:rPr>
          <w:rFonts w:eastAsia="Times New Roman" w:cstheme="minorHAnsi"/>
          <w:bCs/>
        </w:rPr>
        <w:t xml:space="preserve"> </w:t>
      </w:r>
      <w:r w:rsidR="00C87C31" w:rsidRPr="00956EDA">
        <w:rPr>
          <w:rFonts w:eastAsia="Times New Roman" w:cstheme="minorHAnsi"/>
          <w:bCs/>
        </w:rPr>
        <w:t xml:space="preserve">that deepens their </w:t>
      </w:r>
      <w:r w:rsidR="00E2051F" w:rsidRPr="00956EDA">
        <w:rPr>
          <w:rFonts w:eastAsia="Times New Roman" w:cstheme="minorHAnsi"/>
          <w:bCs/>
        </w:rPr>
        <w:t>content</w:t>
      </w:r>
      <w:r w:rsidR="00C87C31" w:rsidRPr="00956EDA">
        <w:rPr>
          <w:rFonts w:eastAsia="Times New Roman" w:cstheme="minorHAnsi"/>
          <w:bCs/>
        </w:rPr>
        <w:t xml:space="preserve"> </w:t>
      </w:r>
      <w:r w:rsidR="00E2051F" w:rsidRPr="00956EDA">
        <w:rPr>
          <w:rFonts w:eastAsia="Times New Roman" w:cstheme="minorHAnsi"/>
          <w:bCs/>
        </w:rPr>
        <w:t>knowledge</w:t>
      </w:r>
      <w:r w:rsidR="00C87C31" w:rsidRPr="00956EDA">
        <w:rPr>
          <w:rFonts w:eastAsia="Times New Roman" w:cstheme="minorHAnsi"/>
          <w:bCs/>
        </w:rPr>
        <w:t xml:space="preserve"> and prepares them t</w:t>
      </w:r>
      <w:r w:rsidR="00E2051F" w:rsidRPr="00956EDA">
        <w:rPr>
          <w:rFonts w:eastAsia="Times New Roman" w:cstheme="minorHAnsi"/>
          <w:bCs/>
        </w:rPr>
        <w:t>o transmit</w:t>
      </w:r>
      <w:r w:rsidR="009F3110" w:rsidRPr="00956EDA">
        <w:rPr>
          <w:rFonts w:eastAsia="Times New Roman" w:cstheme="minorHAnsi"/>
          <w:bCs/>
        </w:rPr>
        <w:t xml:space="preserve"> and use</w:t>
      </w:r>
      <w:r w:rsidR="00E2051F" w:rsidRPr="00956EDA">
        <w:rPr>
          <w:rFonts w:eastAsia="Times New Roman" w:cstheme="minorHAnsi"/>
          <w:bCs/>
        </w:rPr>
        <w:t xml:space="preserve"> this </w:t>
      </w:r>
      <w:r w:rsidR="00C87C31" w:rsidRPr="00956EDA">
        <w:rPr>
          <w:rFonts w:eastAsia="Times New Roman" w:cstheme="minorHAnsi"/>
          <w:bCs/>
        </w:rPr>
        <w:t>knowledge. Candidates for an initial and</w:t>
      </w:r>
      <w:r w:rsidR="005B5AAD" w:rsidRPr="00956EDA">
        <w:rPr>
          <w:rFonts w:eastAsia="Times New Roman" w:cstheme="minorHAnsi"/>
          <w:bCs/>
        </w:rPr>
        <w:t>/or</w:t>
      </w:r>
      <w:r w:rsidR="00C87C31" w:rsidRPr="00956EDA">
        <w:rPr>
          <w:rFonts w:eastAsia="Times New Roman" w:cstheme="minorHAnsi"/>
          <w:bCs/>
        </w:rPr>
        <w:t xml:space="preserve"> advanced license at the master’s level take advanced content course</w:t>
      </w:r>
      <w:r w:rsidR="005B5AAD" w:rsidRPr="00956EDA">
        <w:rPr>
          <w:rFonts w:eastAsia="Times New Roman" w:cstheme="minorHAnsi"/>
          <w:bCs/>
        </w:rPr>
        <w:t>s</w:t>
      </w:r>
      <w:r w:rsidR="00C87C31" w:rsidRPr="00956EDA">
        <w:rPr>
          <w:rFonts w:eastAsia="Times New Roman" w:cstheme="minorHAnsi"/>
          <w:bCs/>
        </w:rPr>
        <w:t xml:space="preserve"> along with their professional education coursework. </w:t>
      </w:r>
      <w:r w:rsidR="00F53E21" w:rsidRPr="00956EDA">
        <w:rPr>
          <w:rFonts w:eastAsia="Times New Roman" w:cstheme="minorHAnsi"/>
          <w:bCs/>
        </w:rPr>
        <w:t>Progress throughout candidates’ programs is monitored; all candidates must maintain the minimum program-required GPA and proceed through their programs in a timely fashion. Before being recommended for licensure, they</w:t>
      </w:r>
      <w:r w:rsidR="00C87C31" w:rsidRPr="00956EDA">
        <w:rPr>
          <w:rFonts w:eastAsia="Times New Roman" w:cstheme="minorHAnsi"/>
          <w:bCs/>
        </w:rPr>
        <w:t xml:space="preserve"> must demonstrate m</w:t>
      </w:r>
      <w:r w:rsidR="00F53E21" w:rsidRPr="00956EDA">
        <w:rPr>
          <w:rFonts w:eastAsia="Times New Roman" w:cstheme="minorHAnsi"/>
          <w:bCs/>
        </w:rPr>
        <w:t xml:space="preserve">astery of their content through </w:t>
      </w:r>
      <w:r w:rsidR="005B5AAD" w:rsidRPr="00956EDA">
        <w:rPr>
          <w:rFonts w:eastAsia="Times New Roman" w:cstheme="minorHAnsi"/>
          <w:bCs/>
        </w:rPr>
        <w:t xml:space="preserve">program-required grade point averages, </w:t>
      </w:r>
      <w:r w:rsidR="00F53E21" w:rsidRPr="00956EDA">
        <w:rPr>
          <w:rFonts w:eastAsia="Times New Roman" w:cstheme="minorHAnsi"/>
          <w:bCs/>
        </w:rPr>
        <w:t xml:space="preserve">capstone </w:t>
      </w:r>
      <w:r w:rsidR="00820B82" w:rsidRPr="00956EDA">
        <w:rPr>
          <w:rFonts w:eastAsia="Times New Roman" w:cstheme="minorHAnsi"/>
          <w:bCs/>
        </w:rPr>
        <w:t>courses or performances</w:t>
      </w:r>
      <w:r w:rsidR="005B5AAD" w:rsidRPr="00956EDA">
        <w:rPr>
          <w:rFonts w:eastAsia="Times New Roman" w:cstheme="minorHAnsi"/>
          <w:bCs/>
        </w:rPr>
        <w:t xml:space="preserve">, </w:t>
      </w:r>
      <w:r w:rsidR="00F53E21" w:rsidRPr="00956EDA">
        <w:rPr>
          <w:rFonts w:eastAsia="Times New Roman" w:cstheme="minorHAnsi"/>
          <w:bCs/>
        </w:rPr>
        <w:t>professional portfolios</w:t>
      </w:r>
      <w:r w:rsidR="005B5AAD" w:rsidRPr="00956EDA">
        <w:rPr>
          <w:rFonts w:eastAsia="Times New Roman" w:cstheme="minorHAnsi"/>
          <w:bCs/>
        </w:rPr>
        <w:t xml:space="preserve">, </w:t>
      </w:r>
      <w:r w:rsidR="00820B82" w:rsidRPr="00956EDA">
        <w:rPr>
          <w:rFonts w:eastAsia="Times New Roman" w:cstheme="minorHAnsi"/>
          <w:bCs/>
        </w:rPr>
        <w:t xml:space="preserve">field-work, </w:t>
      </w:r>
      <w:r w:rsidR="005B5AAD" w:rsidRPr="00956EDA">
        <w:rPr>
          <w:rFonts w:eastAsia="Times New Roman" w:cstheme="minorHAnsi"/>
          <w:bCs/>
        </w:rPr>
        <w:t>comprehensive exams</w:t>
      </w:r>
      <w:r w:rsidR="00F53E21" w:rsidRPr="00956EDA">
        <w:rPr>
          <w:rFonts w:eastAsia="Times New Roman" w:cstheme="minorHAnsi"/>
          <w:bCs/>
        </w:rPr>
        <w:t xml:space="preserve"> and/or standardized tests.</w:t>
      </w:r>
    </w:p>
    <w:p w14:paraId="6797B51F" w14:textId="77777777" w:rsidR="003D0190" w:rsidRPr="00956EDA" w:rsidRDefault="00D26E1C" w:rsidP="00697AEF">
      <w:pPr>
        <w:rPr>
          <w:rFonts w:cstheme="minorHAnsi"/>
          <w:b/>
        </w:rPr>
      </w:pPr>
      <w:r w:rsidRPr="00956EDA">
        <w:rPr>
          <w:rFonts w:eastAsia="Times New Roman" w:cstheme="minorHAnsi"/>
          <w:b/>
          <w:bCs/>
        </w:rPr>
        <w:t xml:space="preserve">Professional Focus III: </w:t>
      </w:r>
      <w:r w:rsidR="003D0190" w:rsidRPr="00956EDA">
        <w:rPr>
          <w:rFonts w:cstheme="minorHAnsi"/>
          <w:b/>
        </w:rPr>
        <w:t>Professional Practice</w:t>
      </w:r>
    </w:p>
    <w:p w14:paraId="420C58FA" w14:textId="77777777" w:rsidR="00B643D7" w:rsidRPr="00956EDA" w:rsidRDefault="00B643D7" w:rsidP="00B643D7">
      <w:pPr>
        <w:rPr>
          <w:rFonts w:cstheme="minorHAnsi"/>
        </w:rPr>
      </w:pPr>
      <w:r w:rsidRPr="00956EDA">
        <w:rPr>
          <w:rFonts w:cstheme="minorHAnsi"/>
          <w:b/>
          <w:i/>
        </w:rPr>
        <w:lastRenderedPageBreak/>
        <w:t xml:space="preserve">Our Commitments. </w:t>
      </w:r>
      <w:r w:rsidR="003D0190" w:rsidRPr="00956EDA">
        <w:rPr>
          <w:rFonts w:cstheme="minorHAnsi"/>
        </w:rPr>
        <w:t>UNCG recognizes that the education professions are comprised of both art and science (</w:t>
      </w:r>
      <w:r w:rsidR="0054560D" w:rsidRPr="00956EDA">
        <w:rPr>
          <w:rFonts w:cstheme="minorHAnsi"/>
        </w:rPr>
        <w:t xml:space="preserve">Berliner, 1986; </w:t>
      </w:r>
      <w:r w:rsidR="003D0190" w:rsidRPr="00956EDA">
        <w:rPr>
          <w:rFonts w:cstheme="minorHAnsi"/>
        </w:rPr>
        <w:t>Marzano</w:t>
      </w:r>
      <w:r w:rsidR="00CA62F2" w:rsidRPr="00956EDA">
        <w:rPr>
          <w:rFonts w:cstheme="minorHAnsi"/>
        </w:rPr>
        <w:t xml:space="preserve">, </w:t>
      </w:r>
      <w:r w:rsidR="000622ED" w:rsidRPr="00956EDA">
        <w:rPr>
          <w:rFonts w:cstheme="minorHAnsi"/>
        </w:rPr>
        <w:t xml:space="preserve">2007) </w:t>
      </w:r>
      <w:r w:rsidR="00150CB2" w:rsidRPr="00956EDA">
        <w:rPr>
          <w:rFonts w:cstheme="minorHAnsi"/>
        </w:rPr>
        <w:t>–</w:t>
      </w:r>
      <w:r w:rsidR="000622ED" w:rsidRPr="00956EDA">
        <w:rPr>
          <w:rFonts w:cstheme="minorHAnsi"/>
        </w:rPr>
        <w:t xml:space="preserve"> </w:t>
      </w:r>
      <w:r w:rsidR="00515E70" w:rsidRPr="00956EDA">
        <w:rPr>
          <w:rFonts w:cstheme="minorHAnsi"/>
        </w:rPr>
        <w:t>aptitudes, beliefs, and broad understandings</w:t>
      </w:r>
      <w:r w:rsidR="003D0190" w:rsidRPr="00956EDA">
        <w:rPr>
          <w:rFonts w:cstheme="minorHAnsi"/>
        </w:rPr>
        <w:t xml:space="preserve"> on one hand and research-based knowledge and skills on the other. </w:t>
      </w:r>
      <w:r w:rsidR="002A2C91" w:rsidRPr="00956EDA">
        <w:rPr>
          <w:rFonts w:cstheme="minorHAnsi"/>
        </w:rPr>
        <w:t>Further, UNCG is committed to the idea that both the art and science of teaching develop over time.</w:t>
      </w:r>
      <w:r w:rsidRPr="00956EDA">
        <w:rPr>
          <w:rFonts w:cstheme="minorHAnsi"/>
        </w:rPr>
        <w:t xml:space="preserve"> </w:t>
      </w:r>
      <w:r w:rsidR="0084621A" w:rsidRPr="00956EDA">
        <w:rPr>
          <w:rFonts w:cstheme="minorHAnsi"/>
        </w:rPr>
        <w:t>Candidates</w:t>
      </w:r>
      <w:r w:rsidR="00D12FA7" w:rsidRPr="00956EDA">
        <w:rPr>
          <w:rFonts w:cstheme="minorHAnsi"/>
        </w:rPr>
        <w:t xml:space="preserve"> build their professional knowledge and skills on a foundation of knowledge, thinking and communication developed in their </w:t>
      </w:r>
      <w:r w:rsidR="00D0480C" w:rsidRPr="00956EDA">
        <w:rPr>
          <w:rFonts w:cstheme="minorHAnsi"/>
        </w:rPr>
        <w:t>general education coursework</w:t>
      </w:r>
      <w:r w:rsidR="00D75EC5" w:rsidRPr="00956EDA">
        <w:rPr>
          <w:rFonts w:cstheme="minorHAnsi"/>
        </w:rPr>
        <w:t xml:space="preserve"> and content majors</w:t>
      </w:r>
      <w:r w:rsidR="00D12FA7" w:rsidRPr="00956EDA">
        <w:rPr>
          <w:rFonts w:cstheme="minorHAnsi"/>
        </w:rPr>
        <w:t xml:space="preserve">. During their professional education programs, they deepen their </w:t>
      </w:r>
      <w:r w:rsidR="00155A43" w:rsidRPr="00956EDA">
        <w:rPr>
          <w:rFonts w:cstheme="minorHAnsi"/>
        </w:rPr>
        <w:t xml:space="preserve">discipline-specific content knowledge and, for teachers, their </w:t>
      </w:r>
      <w:r w:rsidR="00D75EC5" w:rsidRPr="00956EDA">
        <w:rPr>
          <w:rFonts w:cstheme="minorHAnsi"/>
        </w:rPr>
        <w:t>pedagogical</w:t>
      </w:r>
      <w:r w:rsidR="00155A43" w:rsidRPr="00956EDA">
        <w:rPr>
          <w:rFonts w:cstheme="minorHAnsi"/>
        </w:rPr>
        <w:t xml:space="preserve"> c</w:t>
      </w:r>
      <w:r w:rsidR="00D12FA7" w:rsidRPr="00956EDA">
        <w:rPr>
          <w:rFonts w:cstheme="minorHAnsi"/>
        </w:rPr>
        <w:t xml:space="preserve">ontent knowledge </w:t>
      </w:r>
      <w:r w:rsidR="00155A43" w:rsidRPr="00956EDA">
        <w:rPr>
          <w:rFonts w:cstheme="minorHAnsi"/>
        </w:rPr>
        <w:t>to</w:t>
      </w:r>
      <w:r w:rsidR="00D12FA7" w:rsidRPr="00956EDA">
        <w:rPr>
          <w:rFonts w:cstheme="minorHAnsi"/>
        </w:rPr>
        <w:t xml:space="preserve"> support </w:t>
      </w:r>
      <w:r w:rsidR="00FA6185" w:rsidRPr="00956EDA">
        <w:rPr>
          <w:rFonts w:cstheme="minorHAnsi"/>
        </w:rPr>
        <w:t>B-12</w:t>
      </w:r>
      <w:r w:rsidR="00B52FE3" w:rsidRPr="00956EDA">
        <w:rPr>
          <w:rFonts w:cstheme="minorHAnsi"/>
        </w:rPr>
        <w:t xml:space="preserve"> </w:t>
      </w:r>
      <w:r w:rsidR="00D12FA7" w:rsidRPr="00956EDA">
        <w:rPr>
          <w:rFonts w:cstheme="minorHAnsi"/>
        </w:rPr>
        <w:t>student</w:t>
      </w:r>
      <w:r w:rsidR="00155A43" w:rsidRPr="00956EDA">
        <w:rPr>
          <w:rFonts w:cstheme="minorHAnsi"/>
        </w:rPr>
        <w:t>s’ learning</w:t>
      </w:r>
      <w:r w:rsidR="00D12FA7" w:rsidRPr="00956EDA">
        <w:rPr>
          <w:rFonts w:cstheme="minorHAnsi"/>
        </w:rPr>
        <w:t xml:space="preserve">. It is UNCG’s responsibility to provide professional education programs that have, at their core, sequenced and scaffolded opportunities for candidates to develop </w:t>
      </w:r>
      <w:r w:rsidR="00820B82" w:rsidRPr="00956EDA">
        <w:rPr>
          <w:rFonts w:cstheme="minorHAnsi"/>
        </w:rPr>
        <w:t>as</w:t>
      </w:r>
      <w:r w:rsidR="00D12FA7" w:rsidRPr="00956EDA">
        <w:rPr>
          <w:rFonts w:cstheme="minorHAnsi"/>
        </w:rPr>
        <w:t xml:space="preserve"> professionals.</w:t>
      </w:r>
    </w:p>
    <w:p w14:paraId="6EBE4C2E" w14:textId="683890A2" w:rsidR="00345B46" w:rsidRPr="00956EDA" w:rsidRDefault="00D12FA7" w:rsidP="00697AEF">
      <w:pPr>
        <w:rPr>
          <w:rFonts w:cstheme="minorHAnsi"/>
        </w:rPr>
      </w:pPr>
      <w:r w:rsidRPr="00956EDA">
        <w:rPr>
          <w:rFonts w:cstheme="minorHAnsi"/>
          <w:b/>
          <w:i/>
        </w:rPr>
        <w:t xml:space="preserve">Our Understandings. </w:t>
      </w:r>
      <w:r w:rsidR="00345B46" w:rsidRPr="00956EDA">
        <w:rPr>
          <w:rFonts w:cstheme="minorHAnsi"/>
        </w:rPr>
        <w:t>Teacher candidates must have command of the content that they will teach. Mastery of the depth and breadth of one’s field provides the foundation upon which good instruction is built (Grossman, Schoenfeld &amp; Lee, 2005</w:t>
      </w:r>
      <w:r w:rsidR="00431DAF" w:rsidRPr="00956EDA">
        <w:rPr>
          <w:rFonts w:cstheme="minorHAnsi"/>
        </w:rPr>
        <w:t>; Wilson, Floden &amp; Ferrini-Mundy</w:t>
      </w:r>
      <w:r w:rsidR="00345B46" w:rsidRPr="00956EDA">
        <w:rPr>
          <w:rFonts w:cstheme="minorHAnsi"/>
        </w:rPr>
        <w:t>, 2001). However, pedagogical content knowledge and quality instruction comprise the complex, multi-faceted scaffold that promotes student achievement. Teachers must have the ability to deconstruct their knowledge of content to understand the p</w:t>
      </w:r>
      <w:r w:rsidR="00B52FE3" w:rsidRPr="00956EDA">
        <w:rPr>
          <w:rFonts w:cstheme="minorHAnsi"/>
        </w:rPr>
        <w:t>rocess by which it is gradually comprehended</w:t>
      </w:r>
      <w:r w:rsidR="002A2C91" w:rsidRPr="00956EDA">
        <w:rPr>
          <w:rFonts w:cstheme="minorHAnsi"/>
        </w:rPr>
        <w:t xml:space="preserve"> and mastered by the learner. They must have a deep grounding in the content of their teaching areas, along with the pedagogical knowledge and skills to communi</w:t>
      </w:r>
      <w:r w:rsidR="00616552" w:rsidRPr="00956EDA">
        <w:rPr>
          <w:rFonts w:cstheme="minorHAnsi"/>
        </w:rPr>
        <w:t>cate that knowledge in teaching</w:t>
      </w:r>
      <w:r w:rsidR="002A2C91" w:rsidRPr="00956EDA">
        <w:rPr>
          <w:rFonts w:cstheme="minorHAnsi"/>
        </w:rPr>
        <w:t xml:space="preserve"> </w:t>
      </w:r>
      <w:r w:rsidR="00956AB3" w:rsidRPr="00956EDA">
        <w:rPr>
          <w:rFonts w:cstheme="minorHAnsi"/>
        </w:rPr>
        <w:t xml:space="preserve">(Bransford, et al., 2005; Bruner, </w:t>
      </w:r>
      <w:r w:rsidR="00EE4E60" w:rsidRPr="00956EDA">
        <w:rPr>
          <w:rFonts w:cstheme="minorHAnsi"/>
        </w:rPr>
        <w:t>1960/77</w:t>
      </w:r>
      <w:r w:rsidR="00956AB3" w:rsidRPr="00956EDA">
        <w:rPr>
          <w:rFonts w:cstheme="minorHAnsi"/>
        </w:rPr>
        <w:t xml:space="preserve">; </w:t>
      </w:r>
      <w:r w:rsidR="0043786D" w:rsidRPr="00956EDA">
        <w:rPr>
          <w:rFonts w:cstheme="minorHAnsi"/>
        </w:rPr>
        <w:t xml:space="preserve">Shulman, 1986; </w:t>
      </w:r>
      <w:r w:rsidR="00956AB3" w:rsidRPr="00956EDA">
        <w:rPr>
          <w:rFonts w:cstheme="minorHAnsi"/>
        </w:rPr>
        <w:t>Shulman, 1987).</w:t>
      </w:r>
      <w:r w:rsidR="00CB1EB3" w:rsidRPr="00956EDA">
        <w:rPr>
          <w:rFonts w:cstheme="minorHAnsi"/>
        </w:rPr>
        <w:t xml:space="preserve"> Moreover, teacher candidates grow as a result of practice and reflection. This intentional, self-analytic process supports their becoming adaptive practitioners who communicate appropriately with learners about the content of the discipline</w:t>
      </w:r>
      <w:r w:rsidR="00D75EC5" w:rsidRPr="00956EDA">
        <w:rPr>
          <w:rFonts w:cstheme="minorHAnsi"/>
        </w:rPr>
        <w:t xml:space="preserve">s. They </w:t>
      </w:r>
      <w:r w:rsidR="00A36F6A" w:rsidRPr="00956EDA">
        <w:rPr>
          <w:rFonts w:cstheme="minorHAnsi"/>
        </w:rPr>
        <w:t>become</w:t>
      </w:r>
      <w:r w:rsidR="00CB1EB3" w:rsidRPr="00956EDA">
        <w:rPr>
          <w:rFonts w:cstheme="minorHAnsi"/>
        </w:rPr>
        <w:t xml:space="preserve"> responsive to the learning needs of their students</w:t>
      </w:r>
      <w:r w:rsidR="00D75EC5" w:rsidRPr="00956EDA">
        <w:rPr>
          <w:rFonts w:cstheme="minorHAnsi"/>
        </w:rPr>
        <w:t xml:space="preserve"> or, as Bransford and his colleagues describe, they become </w:t>
      </w:r>
      <w:r w:rsidR="00CB1EB3" w:rsidRPr="00956EDA">
        <w:rPr>
          <w:rFonts w:cstheme="minorHAnsi"/>
        </w:rPr>
        <w:t>able to “examine teaching</w:t>
      </w:r>
      <w:r w:rsidR="00CB1EB3" w:rsidRPr="00956EDA">
        <w:rPr>
          <w:rFonts w:cstheme="minorHAnsi"/>
          <w:i/>
        </w:rPr>
        <w:t xml:space="preserve"> in the light of [students’] learning</w:t>
      </w:r>
      <w:r w:rsidR="00CB1EB3" w:rsidRPr="00956EDA">
        <w:rPr>
          <w:rFonts w:cstheme="minorHAnsi"/>
        </w:rPr>
        <w:t xml:space="preserve">” (Bransford, et al., 2005, p. 79.). </w:t>
      </w:r>
      <w:r w:rsidR="000E14F7" w:rsidRPr="00956EDA">
        <w:rPr>
          <w:rFonts w:cstheme="minorHAnsi"/>
        </w:rPr>
        <w:t xml:space="preserve">They are able to apply knowledge about assessment, pedagogical design, instruction and, specifically, about using and teaching technology; meeting the diverse needs of students, including English language learners and children with learning and physical need;  and helping students to become critical and creative thinkers. </w:t>
      </w:r>
      <w:r w:rsidR="00345B46" w:rsidRPr="00956EDA">
        <w:rPr>
          <w:rFonts w:cstheme="minorHAnsi"/>
        </w:rPr>
        <w:t>Similarly, candidates in other school-based professions must continuously study their fields. They must be critical consumers of the expert</w:t>
      </w:r>
      <w:r w:rsidR="002A2C91" w:rsidRPr="00956EDA">
        <w:rPr>
          <w:rFonts w:cstheme="minorHAnsi"/>
        </w:rPr>
        <w:t xml:space="preserve"> literature</w:t>
      </w:r>
      <w:r w:rsidR="0038296E" w:rsidRPr="00956EDA">
        <w:rPr>
          <w:rFonts w:cstheme="minorHAnsi"/>
        </w:rPr>
        <w:t>, seeking out current research and best practices; staying abreast of emerging technologies, multiple literacies, and other 21</w:t>
      </w:r>
      <w:r w:rsidR="0038296E" w:rsidRPr="00956EDA">
        <w:rPr>
          <w:rFonts w:cstheme="minorHAnsi"/>
          <w:vertAlign w:val="superscript"/>
        </w:rPr>
        <w:t>st</w:t>
      </w:r>
      <w:r w:rsidR="0038296E" w:rsidRPr="00956EDA">
        <w:rPr>
          <w:rFonts w:cstheme="minorHAnsi"/>
        </w:rPr>
        <w:t xml:space="preserve"> century skills; and using that information to inform their work with students and colleagues (</w:t>
      </w:r>
      <w:r w:rsidR="00DF3C72" w:rsidRPr="00956EDA">
        <w:rPr>
          <w:rFonts w:cstheme="minorHAnsi"/>
        </w:rPr>
        <w:t>American Association of School Librarians</w:t>
      </w:r>
      <w:r w:rsidR="0038296E" w:rsidRPr="00956EDA">
        <w:rPr>
          <w:rFonts w:cstheme="minorHAnsi"/>
        </w:rPr>
        <w:t>, 2009)</w:t>
      </w:r>
      <w:r w:rsidR="002A2C91" w:rsidRPr="00956EDA">
        <w:rPr>
          <w:rFonts w:cstheme="minorHAnsi"/>
        </w:rPr>
        <w:t>. T</w:t>
      </w:r>
      <w:r w:rsidR="00345B46" w:rsidRPr="00956EDA">
        <w:rPr>
          <w:rFonts w:cstheme="minorHAnsi"/>
        </w:rPr>
        <w:t xml:space="preserve">hey must have the ability to assess and interpret the needs of </w:t>
      </w:r>
      <w:r w:rsidR="00E2051F" w:rsidRPr="00956EDA">
        <w:rPr>
          <w:rFonts w:cstheme="minorHAnsi"/>
        </w:rPr>
        <w:t xml:space="preserve">students and </w:t>
      </w:r>
      <w:r w:rsidR="00345B46" w:rsidRPr="00956EDA">
        <w:rPr>
          <w:rFonts w:cstheme="minorHAnsi"/>
        </w:rPr>
        <w:t>school</w:t>
      </w:r>
      <w:r w:rsidR="00E2051F" w:rsidRPr="00956EDA">
        <w:rPr>
          <w:rFonts w:cstheme="minorHAnsi"/>
        </w:rPr>
        <w:t xml:space="preserve">s </w:t>
      </w:r>
      <w:r w:rsidR="00345B46" w:rsidRPr="00956EDA">
        <w:rPr>
          <w:rFonts w:cstheme="minorHAnsi"/>
        </w:rPr>
        <w:t>and use their knowledge to inform their responses t</w:t>
      </w:r>
      <w:r w:rsidR="002A2C91" w:rsidRPr="00956EDA">
        <w:rPr>
          <w:rFonts w:cstheme="minorHAnsi"/>
        </w:rPr>
        <w:t xml:space="preserve">o those </w:t>
      </w:r>
      <w:r w:rsidR="00E2051F" w:rsidRPr="00956EDA">
        <w:rPr>
          <w:rFonts w:cstheme="minorHAnsi"/>
        </w:rPr>
        <w:t>needs</w:t>
      </w:r>
      <w:r w:rsidR="002A2C91" w:rsidRPr="00956EDA">
        <w:rPr>
          <w:rFonts w:cstheme="minorHAnsi"/>
        </w:rPr>
        <w:t>.</w:t>
      </w:r>
      <w:r w:rsidR="0074527C" w:rsidRPr="00956EDA">
        <w:rPr>
          <w:rFonts w:cstheme="minorHAnsi"/>
          <w:color w:val="FF0000"/>
        </w:rPr>
        <w:t xml:space="preserve"> </w:t>
      </w:r>
    </w:p>
    <w:p w14:paraId="157D66FE" w14:textId="77777777" w:rsidR="003D0190" w:rsidRPr="00956EDA" w:rsidRDefault="005255E2" w:rsidP="00697AEF">
      <w:pPr>
        <w:rPr>
          <w:rFonts w:cstheme="minorHAnsi"/>
        </w:rPr>
      </w:pPr>
      <w:r w:rsidRPr="00956EDA">
        <w:rPr>
          <w:rFonts w:cstheme="minorHAnsi"/>
        </w:rPr>
        <w:t xml:space="preserve">Pedagogical </w:t>
      </w:r>
      <w:r w:rsidR="000A2E3D" w:rsidRPr="00956EDA">
        <w:rPr>
          <w:rFonts w:cstheme="minorHAnsi"/>
        </w:rPr>
        <w:t xml:space="preserve">and professional </w:t>
      </w:r>
      <w:r w:rsidRPr="00956EDA">
        <w:rPr>
          <w:rFonts w:cstheme="minorHAnsi"/>
        </w:rPr>
        <w:t xml:space="preserve">content knowledge develops over time. As </w:t>
      </w:r>
      <w:r w:rsidR="000A2E3D" w:rsidRPr="00956EDA">
        <w:rPr>
          <w:rFonts w:cstheme="minorHAnsi"/>
        </w:rPr>
        <w:t xml:space="preserve">teacher </w:t>
      </w:r>
      <w:r w:rsidRPr="00956EDA">
        <w:rPr>
          <w:rFonts w:cstheme="minorHAnsi"/>
        </w:rPr>
        <w:t>candidates grapple with instruction, assessment, and student performance during their field work, both their understanding of the content of their disciplines and their ability to make that information accessible to students grows (</w:t>
      </w:r>
      <w:r w:rsidR="00D0480C" w:rsidRPr="00956EDA">
        <w:rPr>
          <w:rFonts w:cstheme="minorHAnsi"/>
        </w:rPr>
        <w:t>Grossman</w:t>
      </w:r>
      <w:r w:rsidRPr="00956EDA">
        <w:rPr>
          <w:rFonts w:cstheme="minorHAnsi"/>
        </w:rPr>
        <w:t xml:space="preserve">, et al., 2005). </w:t>
      </w:r>
      <w:r w:rsidR="000A2E3D" w:rsidRPr="00956EDA">
        <w:rPr>
          <w:rFonts w:cstheme="minorHAnsi"/>
        </w:rPr>
        <w:t xml:space="preserve">Candidates in non-teaching areas similarly refine their skills as they work with students, schools and other stakeholders. All candidates must </w:t>
      </w:r>
      <w:r w:rsidR="00E2051F" w:rsidRPr="00956EDA">
        <w:rPr>
          <w:rFonts w:cstheme="minorHAnsi"/>
        </w:rPr>
        <w:t xml:space="preserve">study the research that supports </w:t>
      </w:r>
      <w:r w:rsidR="000A2E3D" w:rsidRPr="00956EDA">
        <w:rPr>
          <w:rFonts w:cstheme="minorHAnsi"/>
        </w:rPr>
        <w:t xml:space="preserve">their fields, from </w:t>
      </w:r>
      <w:r w:rsidR="003D0190" w:rsidRPr="00956EDA">
        <w:rPr>
          <w:rFonts w:cstheme="minorHAnsi"/>
        </w:rPr>
        <w:t xml:space="preserve">educational psychology, child and adolescent development, </w:t>
      </w:r>
      <w:r w:rsidRPr="00956EDA">
        <w:rPr>
          <w:rFonts w:cstheme="minorHAnsi"/>
        </w:rPr>
        <w:t>learning theories</w:t>
      </w:r>
      <w:r w:rsidR="00B57A08" w:rsidRPr="00956EDA">
        <w:rPr>
          <w:rFonts w:cstheme="minorHAnsi"/>
        </w:rPr>
        <w:t xml:space="preserve"> and literacy instruction</w:t>
      </w:r>
      <w:r w:rsidR="000A2E3D" w:rsidRPr="00956EDA">
        <w:rPr>
          <w:rFonts w:cstheme="minorHAnsi"/>
        </w:rPr>
        <w:t xml:space="preserve"> to culturally responsive pedagogy, organizational theory, school law</w:t>
      </w:r>
      <w:r w:rsidR="00DA436F" w:rsidRPr="00956EDA">
        <w:rPr>
          <w:rFonts w:cstheme="minorHAnsi"/>
        </w:rPr>
        <w:t>, and discipline-specific theory and practice.</w:t>
      </w:r>
      <w:r w:rsidR="00155A43" w:rsidRPr="00956EDA">
        <w:rPr>
          <w:rFonts w:cstheme="minorHAnsi"/>
        </w:rPr>
        <w:t xml:space="preserve"> </w:t>
      </w:r>
      <w:r w:rsidR="000A2E3D" w:rsidRPr="00956EDA">
        <w:rPr>
          <w:rFonts w:cstheme="minorHAnsi"/>
        </w:rPr>
        <w:t xml:space="preserve">However, it is </w:t>
      </w:r>
      <w:r w:rsidR="00E2051F" w:rsidRPr="00956EDA">
        <w:rPr>
          <w:rFonts w:cstheme="minorHAnsi"/>
        </w:rPr>
        <w:t>i</w:t>
      </w:r>
      <w:r w:rsidR="000A2E3D" w:rsidRPr="00956EDA">
        <w:rPr>
          <w:rFonts w:cstheme="minorHAnsi"/>
        </w:rPr>
        <w:t>n</w:t>
      </w:r>
      <w:r w:rsidRPr="00956EDA">
        <w:rPr>
          <w:rFonts w:cstheme="minorHAnsi"/>
        </w:rPr>
        <w:t xml:space="preserve"> applying this information, particularly in clinical settings, </w:t>
      </w:r>
      <w:r w:rsidR="000A2E3D" w:rsidRPr="00956EDA">
        <w:rPr>
          <w:rFonts w:cstheme="minorHAnsi"/>
        </w:rPr>
        <w:t>that they</w:t>
      </w:r>
      <w:r w:rsidRPr="00956EDA">
        <w:rPr>
          <w:rFonts w:cstheme="minorHAnsi"/>
        </w:rPr>
        <w:t xml:space="preserve"> deepen their understandings and skills (LePage, et al., 2005; </w:t>
      </w:r>
      <w:r w:rsidR="00A1236B" w:rsidRPr="00956EDA">
        <w:rPr>
          <w:rFonts w:cstheme="minorHAnsi"/>
        </w:rPr>
        <w:t>Darling-Hammond, et al., 2005</w:t>
      </w:r>
      <w:r w:rsidR="004D2F08" w:rsidRPr="00956EDA">
        <w:rPr>
          <w:rFonts w:cstheme="minorHAnsi"/>
        </w:rPr>
        <w:t>)</w:t>
      </w:r>
      <w:r w:rsidR="003D0190" w:rsidRPr="00956EDA">
        <w:rPr>
          <w:rFonts w:cstheme="minorHAnsi"/>
        </w:rPr>
        <w:t xml:space="preserve">. </w:t>
      </w:r>
    </w:p>
    <w:p w14:paraId="06E4CF81" w14:textId="77777777" w:rsidR="003D0190" w:rsidRPr="00956EDA" w:rsidRDefault="00A922B8" w:rsidP="00697AEF">
      <w:pPr>
        <w:rPr>
          <w:rFonts w:cstheme="minorHAnsi"/>
        </w:rPr>
      </w:pPr>
      <w:r w:rsidRPr="00956EDA">
        <w:rPr>
          <w:rFonts w:cstheme="minorHAnsi"/>
          <w:b/>
          <w:i/>
        </w:rPr>
        <w:lastRenderedPageBreak/>
        <w:t>Our practices</w:t>
      </w:r>
      <w:r w:rsidRPr="00956EDA">
        <w:rPr>
          <w:rFonts w:cstheme="minorHAnsi"/>
        </w:rPr>
        <w:t xml:space="preserve">. </w:t>
      </w:r>
      <w:r w:rsidR="003D0190" w:rsidRPr="00956EDA">
        <w:rPr>
          <w:rFonts w:cstheme="minorHAnsi"/>
        </w:rPr>
        <w:t>Candidates’ professional dispositions are assessed repeatedly d</w:t>
      </w:r>
      <w:r w:rsidRPr="00956EDA">
        <w:rPr>
          <w:rFonts w:cstheme="minorHAnsi"/>
        </w:rPr>
        <w:t xml:space="preserve">uring their education programs. </w:t>
      </w:r>
      <w:r w:rsidR="000A2E3D" w:rsidRPr="00956EDA">
        <w:rPr>
          <w:rFonts w:cstheme="minorHAnsi"/>
        </w:rPr>
        <w:t>They</w:t>
      </w:r>
      <w:r w:rsidR="003D0190" w:rsidRPr="00956EDA">
        <w:rPr>
          <w:rFonts w:cstheme="minorHAnsi"/>
        </w:rPr>
        <w:t xml:space="preserve"> are expected to improve in areas that they and the faculty identify as</w:t>
      </w:r>
      <w:r w:rsidRPr="00956EDA">
        <w:rPr>
          <w:rFonts w:cstheme="minorHAnsi"/>
        </w:rPr>
        <w:t xml:space="preserve"> requiring growth. </w:t>
      </w:r>
      <w:r w:rsidR="003D0190" w:rsidRPr="00956EDA">
        <w:rPr>
          <w:rFonts w:cstheme="minorHAnsi"/>
        </w:rPr>
        <w:t xml:space="preserve"> </w:t>
      </w:r>
      <w:r w:rsidR="00480EA9" w:rsidRPr="00956EDA">
        <w:rPr>
          <w:rFonts w:cstheme="minorHAnsi"/>
        </w:rPr>
        <w:t xml:space="preserve">Similarly, </w:t>
      </w:r>
      <w:r w:rsidR="003D0190" w:rsidRPr="00956EDA">
        <w:rPr>
          <w:rFonts w:cstheme="minorHAnsi"/>
        </w:rPr>
        <w:t>UNCG is committed to a developmental model that ensures sequenced, scaffolded experiences in which candidates develop and practice the knowledge and skills that are required for their professions. Teacher candidates develop complex instructional design skills, using research-based models to design unit and lesson plans that are aligned with Common Core State Standards and North Carolina Essential Standards. Candidates differentiate instruction to meet individual and group needs, with atten</w:t>
      </w:r>
      <w:r w:rsidRPr="00956EDA">
        <w:rPr>
          <w:rFonts w:cstheme="minorHAnsi"/>
        </w:rPr>
        <w:t xml:space="preserve">tion to </w:t>
      </w:r>
      <w:r w:rsidR="003D0190" w:rsidRPr="00956EDA">
        <w:rPr>
          <w:rFonts w:cstheme="minorHAnsi"/>
        </w:rPr>
        <w:t xml:space="preserve">English learners, students with diverse cultural backgrounds, and students with special needs. </w:t>
      </w:r>
      <w:r w:rsidRPr="00956EDA">
        <w:rPr>
          <w:rFonts w:cstheme="minorHAnsi"/>
        </w:rPr>
        <w:t xml:space="preserve">They spend extensive time in the field, with </w:t>
      </w:r>
      <w:r w:rsidR="005061F8" w:rsidRPr="00956EDA">
        <w:rPr>
          <w:rFonts w:cstheme="minorHAnsi"/>
        </w:rPr>
        <w:t>clinical</w:t>
      </w:r>
      <w:r w:rsidRPr="00956EDA">
        <w:rPr>
          <w:rFonts w:cstheme="minorHAnsi"/>
        </w:rPr>
        <w:t xml:space="preserve"> experiences </w:t>
      </w:r>
      <w:r w:rsidR="000E14F7" w:rsidRPr="00956EDA">
        <w:rPr>
          <w:rFonts w:cstheme="minorHAnsi"/>
        </w:rPr>
        <w:t xml:space="preserve">beginning </w:t>
      </w:r>
      <w:r w:rsidRPr="00956EDA">
        <w:rPr>
          <w:rFonts w:cstheme="minorHAnsi"/>
        </w:rPr>
        <w:t xml:space="preserve">in their </w:t>
      </w:r>
      <w:r w:rsidR="00E76439" w:rsidRPr="00956EDA">
        <w:rPr>
          <w:rFonts w:cstheme="minorHAnsi"/>
        </w:rPr>
        <w:t xml:space="preserve">sophomore or </w:t>
      </w:r>
      <w:r w:rsidRPr="00956EDA">
        <w:rPr>
          <w:rFonts w:cstheme="minorHAnsi"/>
        </w:rPr>
        <w:t>junior</w:t>
      </w:r>
      <w:r w:rsidR="000A2E3D" w:rsidRPr="00956EDA">
        <w:rPr>
          <w:rFonts w:cstheme="minorHAnsi"/>
        </w:rPr>
        <w:t xml:space="preserve"> year. School counselors, social workers, media coordinators and administrators </w:t>
      </w:r>
      <w:r w:rsidR="00820B82" w:rsidRPr="00956EDA">
        <w:rPr>
          <w:rFonts w:cstheme="minorHAnsi"/>
        </w:rPr>
        <w:t xml:space="preserve">also </w:t>
      </w:r>
      <w:r w:rsidR="000A2E3D" w:rsidRPr="00956EDA">
        <w:rPr>
          <w:rFonts w:cstheme="minorHAnsi"/>
        </w:rPr>
        <w:t xml:space="preserve">participate in practica throughout their programs. In fact, many of the candidates in non-teaching areas and all candidates in advanced teaching programs are employees of school districts while studying at UNCG. </w:t>
      </w:r>
      <w:r w:rsidR="005D06CA" w:rsidRPr="00956EDA">
        <w:rPr>
          <w:rFonts w:cstheme="minorHAnsi"/>
        </w:rPr>
        <w:t>Throughout their programs, candidates not only receive feedback from faculty</w:t>
      </w:r>
      <w:r w:rsidR="009F3110" w:rsidRPr="00956EDA">
        <w:rPr>
          <w:rFonts w:cstheme="minorHAnsi"/>
        </w:rPr>
        <w:t xml:space="preserve">, </w:t>
      </w:r>
      <w:r w:rsidR="005D06CA" w:rsidRPr="00956EDA">
        <w:rPr>
          <w:rFonts w:cstheme="minorHAnsi"/>
        </w:rPr>
        <w:t>teachers</w:t>
      </w:r>
      <w:r w:rsidR="009F3110" w:rsidRPr="00956EDA">
        <w:rPr>
          <w:rFonts w:cstheme="minorHAnsi"/>
        </w:rPr>
        <w:t xml:space="preserve"> and other field-based supervisors and instructors</w:t>
      </w:r>
      <w:r w:rsidR="005D06CA" w:rsidRPr="00956EDA">
        <w:rPr>
          <w:rFonts w:cstheme="minorHAnsi"/>
        </w:rPr>
        <w:t>; they also reflect on their performance and dispositions.</w:t>
      </w:r>
      <w:r w:rsidRPr="00956EDA">
        <w:rPr>
          <w:rFonts w:cstheme="minorHAnsi"/>
        </w:rPr>
        <w:t xml:space="preserve"> </w:t>
      </w:r>
      <w:r w:rsidR="00A07D23" w:rsidRPr="00956EDA">
        <w:rPr>
          <w:rFonts w:cstheme="minorHAnsi"/>
        </w:rPr>
        <w:t>They</w:t>
      </w:r>
      <w:r w:rsidR="004D2F08" w:rsidRPr="00956EDA">
        <w:rPr>
          <w:rFonts w:cstheme="minorHAnsi"/>
        </w:rPr>
        <w:t xml:space="preserve"> are </w:t>
      </w:r>
      <w:r w:rsidR="003D0190" w:rsidRPr="00956EDA">
        <w:rPr>
          <w:rFonts w:cstheme="minorHAnsi"/>
        </w:rPr>
        <w:t>assessed repeatedly during their programs</w:t>
      </w:r>
      <w:r w:rsidR="004D2F08" w:rsidRPr="00956EDA">
        <w:rPr>
          <w:rFonts w:cstheme="minorHAnsi"/>
        </w:rPr>
        <w:t xml:space="preserve"> and, o</w:t>
      </w:r>
      <w:r w:rsidR="00FC13FB" w:rsidRPr="00956EDA">
        <w:rPr>
          <w:rFonts w:cstheme="minorHAnsi"/>
        </w:rPr>
        <w:t>nly</w:t>
      </w:r>
      <w:r w:rsidR="003D0190" w:rsidRPr="00956EDA">
        <w:rPr>
          <w:rFonts w:cstheme="minorHAnsi"/>
        </w:rPr>
        <w:t xml:space="preserve"> when</w:t>
      </w:r>
      <w:r w:rsidR="0038296E" w:rsidRPr="00956EDA">
        <w:rPr>
          <w:rFonts w:cstheme="minorHAnsi"/>
        </w:rPr>
        <w:t xml:space="preserve"> </w:t>
      </w:r>
      <w:r w:rsidR="00A07D23" w:rsidRPr="00956EDA">
        <w:rPr>
          <w:rFonts w:cstheme="minorHAnsi"/>
        </w:rPr>
        <w:t xml:space="preserve">they </w:t>
      </w:r>
      <w:r w:rsidR="003D0190" w:rsidRPr="00956EDA">
        <w:rPr>
          <w:rFonts w:cstheme="minorHAnsi"/>
        </w:rPr>
        <w:t>develop</w:t>
      </w:r>
      <w:r w:rsidR="00A07D23" w:rsidRPr="00956EDA">
        <w:rPr>
          <w:rFonts w:cstheme="minorHAnsi"/>
        </w:rPr>
        <w:t xml:space="preserve"> the required </w:t>
      </w:r>
      <w:r w:rsidR="00FC13FB" w:rsidRPr="00956EDA">
        <w:rPr>
          <w:rFonts w:cstheme="minorHAnsi"/>
        </w:rPr>
        <w:t>competencies</w:t>
      </w:r>
      <w:r w:rsidR="003D0190" w:rsidRPr="00956EDA">
        <w:rPr>
          <w:rFonts w:cstheme="minorHAnsi"/>
        </w:rPr>
        <w:t xml:space="preserve"> in a broad range of professional areas, as demonstrated through portfolios, capstone performance, standardized state examinations</w:t>
      </w:r>
      <w:r w:rsidR="00B57A08" w:rsidRPr="00956EDA">
        <w:rPr>
          <w:rFonts w:cstheme="minorHAnsi"/>
        </w:rPr>
        <w:t>,</w:t>
      </w:r>
      <w:r w:rsidR="0038296E" w:rsidRPr="00956EDA">
        <w:rPr>
          <w:rFonts w:cstheme="minorHAnsi"/>
        </w:rPr>
        <w:t xml:space="preserve"> grade point averages</w:t>
      </w:r>
      <w:r w:rsidR="00B57A08" w:rsidRPr="00956EDA">
        <w:rPr>
          <w:rFonts w:cstheme="minorHAnsi"/>
        </w:rPr>
        <w:t>,</w:t>
      </w:r>
      <w:r w:rsidR="003D0190" w:rsidRPr="00956EDA">
        <w:rPr>
          <w:rFonts w:cstheme="minorHAnsi"/>
        </w:rPr>
        <w:t xml:space="preserve"> and/or clinical performances, are they recommended for licensure.</w:t>
      </w:r>
    </w:p>
    <w:p w14:paraId="12F9484E" w14:textId="77777777" w:rsidR="00A25F90" w:rsidRPr="00956EDA" w:rsidRDefault="00D26E1C" w:rsidP="00697AEF">
      <w:pPr>
        <w:rPr>
          <w:rFonts w:cstheme="minorHAnsi"/>
          <w:b/>
        </w:rPr>
      </w:pPr>
      <w:r w:rsidRPr="00956EDA">
        <w:rPr>
          <w:rFonts w:eastAsia="Times New Roman" w:cstheme="minorHAnsi"/>
          <w:b/>
          <w:bCs/>
        </w:rPr>
        <w:t xml:space="preserve">Professional Focus IV: </w:t>
      </w:r>
      <w:r w:rsidR="00786B56" w:rsidRPr="00956EDA">
        <w:rPr>
          <w:rFonts w:cstheme="minorHAnsi"/>
          <w:b/>
        </w:rPr>
        <w:t>Educational</w:t>
      </w:r>
      <w:r w:rsidR="003D0190" w:rsidRPr="00956EDA">
        <w:rPr>
          <w:rFonts w:cstheme="minorHAnsi"/>
          <w:b/>
        </w:rPr>
        <w:t xml:space="preserve"> Environment</w:t>
      </w:r>
    </w:p>
    <w:p w14:paraId="005793E8" w14:textId="6291CB67" w:rsidR="00617B93" w:rsidRPr="00956EDA" w:rsidRDefault="00617B93" w:rsidP="00617B93">
      <w:pPr>
        <w:widowControl w:val="0"/>
        <w:autoSpaceDE w:val="0"/>
        <w:autoSpaceDN w:val="0"/>
        <w:adjustRightInd w:val="0"/>
        <w:spacing w:after="240"/>
        <w:rPr>
          <w:rFonts w:cstheme="minorHAnsi"/>
        </w:rPr>
      </w:pPr>
      <w:r w:rsidRPr="00956EDA">
        <w:rPr>
          <w:rFonts w:cstheme="minorHAnsi"/>
          <w:b/>
          <w:i/>
        </w:rPr>
        <w:t>Our Commitments</w:t>
      </w:r>
      <w:r w:rsidRPr="00956EDA">
        <w:rPr>
          <w:rFonts w:cstheme="minorHAnsi"/>
          <w:b/>
        </w:rPr>
        <w:t xml:space="preserve">. </w:t>
      </w:r>
      <w:r w:rsidRPr="00956EDA">
        <w:rPr>
          <w:rFonts w:cstheme="minorHAnsi"/>
        </w:rPr>
        <w:t xml:space="preserve">Today’s students come to school with a diverse set of </w:t>
      </w:r>
      <w:r w:rsidR="00084937" w:rsidRPr="00956EDA">
        <w:rPr>
          <w:rFonts w:cstheme="minorHAnsi"/>
        </w:rPr>
        <w:t>socio</w:t>
      </w:r>
      <w:r w:rsidRPr="00956EDA">
        <w:rPr>
          <w:rFonts w:cstheme="minorHAnsi"/>
        </w:rPr>
        <w:t xml:space="preserve">cultural and linguistic backgrounds, abilities, nationalities, religions, economic resources, </w:t>
      </w:r>
      <w:r w:rsidR="00C20BEC" w:rsidRPr="00956EDA">
        <w:rPr>
          <w:rFonts w:cstheme="minorHAnsi"/>
        </w:rPr>
        <w:t>and</w:t>
      </w:r>
      <w:r w:rsidRPr="00956EDA">
        <w:rPr>
          <w:rFonts w:cstheme="minorHAnsi"/>
        </w:rPr>
        <w:t xml:space="preserve"> sexual orientation. We believe that our programs must prepare educational professionals who can create </w:t>
      </w:r>
      <w:r w:rsidR="00732917" w:rsidRPr="00956EDA">
        <w:rPr>
          <w:rFonts w:cstheme="minorHAnsi"/>
        </w:rPr>
        <w:t xml:space="preserve">safe, supportive and </w:t>
      </w:r>
      <w:r w:rsidRPr="00956EDA">
        <w:rPr>
          <w:rFonts w:cstheme="minorHAnsi"/>
        </w:rPr>
        <w:t xml:space="preserve">inclusive environments </w:t>
      </w:r>
      <w:r w:rsidR="00D0480C" w:rsidRPr="00956EDA">
        <w:rPr>
          <w:rFonts w:cstheme="minorHAnsi"/>
        </w:rPr>
        <w:t>in which</w:t>
      </w:r>
      <w:r w:rsidRPr="00956EDA">
        <w:rPr>
          <w:rFonts w:cstheme="minorHAnsi"/>
        </w:rPr>
        <w:t xml:space="preserve"> all students enjoy unfettered access to educational programs and services. We further believe that we have an obligation to provide not only access to educational institutions but also to equitable learning environments. To do so, our </w:t>
      </w:r>
      <w:r w:rsidR="00A07D23" w:rsidRPr="00956EDA">
        <w:rPr>
          <w:rFonts w:cstheme="minorHAnsi"/>
        </w:rPr>
        <w:t>candidates</w:t>
      </w:r>
      <w:r w:rsidRPr="00956EDA">
        <w:rPr>
          <w:rFonts w:cstheme="minorHAnsi"/>
        </w:rPr>
        <w:t xml:space="preserve"> need more than knowledge; they need experiences and the opportunity to reflect critically on their experiences so they “</w:t>
      </w:r>
      <w:r w:rsidRPr="00956EDA">
        <w:rPr>
          <w:rFonts w:eastAsiaTheme="minorEastAsia" w:cstheme="minorHAnsi"/>
        </w:rPr>
        <w:t xml:space="preserve">know who they want to become (i.e., self-knowledge) and </w:t>
      </w:r>
      <w:r w:rsidR="00A07D23" w:rsidRPr="00956EDA">
        <w:rPr>
          <w:rFonts w:eastAsiaTheme="minorEastAsia" w:cstheme="minorHAnsi"/>
        </w:rPr>
        <w:t>[how to be</w:t>
      </w:r>
      <w:r w:rsidRPr="00956EDA">
        <w:rPr>
          <w:rFonts w:eastAsiaTheme="minorEastAsia" w:cstheme="minorHAnsi"/>
        </w:rPr>
        <w:t xml:space="preserve"> both</w:t>
      </w:r>
      <w:r w:rsidR="00A07D23" w:rsidRPr="00956EDA">
        <w:rPr>
          <w:rFonts w:eastAsiaTheme="minorEastAsia" w:cstheme="minorHAnsi"/>
        </w:rPr>
        <w:t>]</w:t>
      </w:r>
      <w:r w:rsidRPr="00956EDA">
        <w:rPr>
          <w:rFonts w:eastAsiaTheme="minorEastAsia" w:cstheme="minorHAnsi"/>
        </w:rPr>
        <w:t xml:space="preserve"> proactive and skilled in navigating places for themselves as </w:t>
      </w:r>
      <w:r w:rsidR="00D0480C" w:rsidRPr="00956EDA">
        <w:rPr>
          <w:rFonts w:eastAsiaTheme="minorEastAsia" w:cstheme="minorHAnsi"/>
        </w:rPr>
        <w:t>[</w:t>
      </w:r>
      <w:r w:rsidR="00991364" w:rsidRPr="00956EDA">
        <w:rPr>
          <w:rFonts w:eastAsiaTheme="minorEastAsia" w:cstheme="minorHAnsi"/>
        </w:rPr>
        <w:t>professionals</w:t>
      </w:r>
      <w:r w:rsidR="00D0480C" w:rsidRPr="00956EDA">
        <w:rPr>
          <w:rFonts w:eastAsiaTheme="minorEastAsia" w:cstheme="minorHAnsi"/>
        </w:rPr>
        <w:t>]</w:t>
      </w:r>
      <w:r w:rsidRPr="00956EDA">
        <w:rPr>
          <w:rFonts w:eastAsiaTheme="minorEastAsia" w:cstheme="minorHAnsi"/>
        </w:rPr>
        <w:t xml:space="preserve"> (i.e., agency)”</w:t>
      </w:r>
      <w:r w:rsidRPr="00956EDA">
        <w:rPr>
          <w:rFonts w:cstheme="minorHAnsi"/>
        </w:rPr>
        <w:t xml:space="preserve"> (Fairbanks, et al., 2010, p. 167). Our goals are formidable but the stakes for children are higher.</w:t>
      </w:r>
    </w:p>
    <w:p w14:paraId="3AD1EE45" w14:textId="26B209BA" w:rsidR="00617B93" w:rsidRPr="00956EDA" w:rsidRDefault="00617B93" w:rsidP="00617B93">
      <w:pPr>
        <w:autoSpaceDE w:val="0"/>
        <w:autoSpaceDN w:val="0"/>
        <w:adjustRightInd w:val="0"/>
        <w:rPr>
          <w:rFonts w:cstheme="minorHAnsi"/>
        </w:rPr>
      </w:pPr>
      <w:r w:rsidRPr="00956EDA">
        <w:rPr>
          <w:rFonts w:cstheme="minorHAnsi"/>
          <w:b/>
          <w:i/>
        </w:rPr>
        <w:t>Our Understandings</w:t>
      </w:r>
      <w:r w:rsidRPr="00956EDA">
        <w:rPr>
          <w:rFonts w:cstheme="minorHAnsi"/>
          <w:b/>
        </w:rPr>
        <w:t>.</w:t>
      </w:r>
      <w:r w:rsidRPr="00956EDA">
        <w:rPr>
          <w:rFonts w:cstheme="minorHAnsi"/>
        </w:rPr>
        <w:t xml:space="preserve"> We define diversity as including race, </w:t>
      </w:r>
      <w:r w:rsidR="0016307A" w:rsidRPr="00956EDA">
        <w:rPr>
          <w:rFonts w:cstheme="minorHAnsi"/>
        </w:rPr>
        <w:t>ethnicity,</w:t>
      </w:r>
      <w:r w:rsidR="00956EDA" w:rsidRPr="00956EDA">
        <w:rPr>
          <w:rFonts w:cstheme="minorHAnsi"/>
        </w:rPr>
        <w:t xml:space="preserve"> </w:t>
      </w:r>
      <w:r w:rsidRPr="00956EDA">
        <w:rPr>
          <w:rFonts w:cstheme="minorHAnsi"/>
        </w:rPr>
        <w:t xml:space="preserve">class, gender, physical abilities, </w:t>
      </w:r>
      <w:r w:rsidR="0016307A" w:rsidRPr="00956EDA">
        <w:rPr>
          <w:rFonts w:cstheme="minorHAnsi"/>
        </w:rPr>
        <w:t xml:space="preserve">exceptionalities, </w:t>
      </w:r>
      <w:r w:rsidRPr="00956EDA">
        <w:rPr>
          <w:rFonts w:cstheme="minorHAnsi"/>
        </w:rPr>
        <w:t>and sexual orientation</w:t>
      </w:r>
      <w:r w:rsidR="000622ED" w:rsidRPr="00956EDA">
        <w:rPr>
          <w:rFonts w:cstheme="minorHAnsi"/>
        </w:rPr>
        <w:t>,</w:t>
      </w:r>
      <w:r w:rsidRPr="00956EDA">
        <w:rPr>
          <w:rFonts w:cstheme="minorHAnsi"/>
        </w:rPr>
        <w:t xml:space="preserve"> in addition to religion, educational background, </w:t>
      </w:r>
      <w:r w:rsidR="0016307A" w:rsidRPr="00956EDA">
        <w:rPr>
          <w:rFonts w:cstheme="minorHAnsi"/>
        </w:rPr>
        <w:t xml:space="preserve">language, </w:t>
      </w:r>
      <w:r w:rsidRPr="00956EDA">
        <w:rPr>
          <w:rFonts w:cstheme="minorHAnsi"/>
        </w:rPr>
        <w:t>geographical location, family income, and parental status (Ladson-Billing</w:t>
      </w:r>
      <w:r w:rsidR="00DA707F" w:rsidRPr="00956EDA">
        <w:rPr>
          <w:rFonts w:cstheme="minorHAnsi"/>
        </w:rPr>
        <w:t>s</w:t>
      </w:r>
      <w:r w:rsidRPr="00956EDA">
        <w:rPr>
          <w:rFonts w:cstheme="minorHAnsi"/>
        </w:rPr>
        <w:t xml:space="preserve">, 2001; LAS, 2004). It is an inclusive definition—not limited to race or gender, rather one that encompasses the broad spectrum of people who make up our world and our educational institutions. The understanding, knowledge, and skills necessary to create such environments have been most closely associated with culturally responsive pedagogy (Ladson-Billings, 1995). As Brown-Jeffy and Cooper (2011) argue, culturally responsive pedagogy should prepare educational professionals to advocate and take action and to “work hard to ‘make it right’ for all children, not just those perceived to be more privileged than others” (p. 79). We draw on these ideas in our programs not only with respect to race or ethnicity but also to </w:t>
      </w:r>
      <w:r w:rsidRPr="00956EDA">
        <w:rPr>
          <w:rFonts w:cstheme="minorHAnsi"/>
        </w:rPr>
        <w:lastRenderedPageBreak/>
        <w:t xml:space="preserve">students with disabilities or other exceptionalities, the increasing numbers of students who speak a language other than English, and the myriad immigrants and </w:t>
      </w:r>
      <w:r w:rsidR="000622ED" w:rsidRPr="00956EDA">
        <w:rPr>
          <w:rFonts w:cstheme="minorHAnsi"/>
        </w:rPr>
        <w:t>refugees who enter schools each year.</w:t>
      </w:r>
    </w:p>
    <w:p w14:paraId="22AE8F62" w14:textId="77777777" w:rsidR="00617B93" w:rsidRPr="00956EDA" w:rsidRDefault="00617B93" w:rsidP="00617B93">
      <w:pPr>
        <w:widowControl w:val="0"/>
        <w:autoSpaceDE w:val="0"/>
        <w:autoSpaceDN w:val="0"/>
        <w:adjustRightInd w:val="0"/>
        <w:spacing w:after="0"/>
        <w:rPr>
          <w:rFonts w:eastAsiaTheme="minorEastAsia" w:cstheme="minorHAnsi"/>
        </w:rPr>
      </w:pPr>
      <w:r w:rsidRPr="00956EDA">
        <w:rPr>
          <w:rFonts w:cstheme="minorHAnsi"/>
        </w:rPr>
        <w:t xml:space="preserve">In order to understand and teach diverse learners effectively, our students must learn about culture and its role in educational settings. As Ladson-Billings (2006) argues, professional education needs to incorporate opportunities for </w:t>
      </w:r>
      <w:r w:rsidR="00D0480C" w:rsidRPr="00956EDA">
        <w:rPr>
          <w:rFonts w:cstheme="minorHAnsi"/>
        </w:rPr>
        <w:t>candidates</w:t>
      </w:r>
      <w:r w:rsidRPr="00956EDA">
        <w:rPr>
          <w:rFonts w:cstheme="minorHAnsi"/>
        </w:rPr>
        <w:t xml:space="preserve"> to examine themselves as cultural beings and “to recognize the cultural underpinnings of their own beliefs, attitudes, and practices” in order to “become more open to the power of culture to shape the learning and experiences of the students” (p. 109). By critically reflecting on the way their own culture shapes who they are and what they know, </w:t>
      </w:r>
      <w:r w:rsidR="00A07D23" w:rsidRPr="00956EDA">
        <w:rPr>
          <w:rFonts w:cstheme="minorHAnsi"/>
        </w:rPr>
        <w:t>candidates</w:t>
      </w:r>
      <w:r w:rsidRPr="00956EDA">
        <w:rPr>
          <w:rFonts w:cstheme="minorHAnsi"/>
        </w:rPr>
        <w:t xml:space="preserve"> may also understand the value of </w:t>
      </w:r>
      <w:r w:rsidRPr="00956EDA">
        <w:rPr>
          <w:rFonts w:eastAsiaTheme="minorEastAsia" w:cstheme="minorHAnsi"/>
        </w:rPr>
        <w:t>knowledge of who children are, how they perceive themselves, and how the world receives them” (Brown-Jeffy &amp; Cooper, 2011, p. 79).</w:t>
      </w:r>
    </w:p>
    <w:p w14:paraId="1DBF5AF3" w14:textId="77777777" w:rsidR="00617B93" w:rsidRPr="00956EDA" w:rsidRDefault="00617B93" w:rsidP="00617B93">
      <w:pPr>
        <w:widowControl w:val="0"/>
        <w:autoSpaceDE w:val="0"/>
        <w:autoSpaceDN w:val="0"/>
        <w:adjustRightInd w:val="0"/>
        <w:spacing w:after="0"/>
        <w:rPr>
          <w:rFonts w:eastAsiaTheme="minorEastAsia" w:cstheme="minorHAnsi"/>
        </w:rPr>
      </w:pPr>
    </w:p>
    <w:p w14:paraId="5110E688" w14:textId="77777777" w:rsidR="00617B93" w:rsidRPr="00956EDA" w:rsidRDefault="00617B93" w:rsidP="00617B93">
      <w:pPr>
        <w:rPr>
          <w:rFonts w:cstheme="minorHAnsi"/>
        </w:rPr>
      </w:pPr>
      <w:r w:rsidRPr="00956EDA">
        <w:rPr>
          <w:rFonts w:cstheme="minorHAnsi"/>
        </w:rPr>
        <w:t>Creating inclusive environments requires above all that educational professionals hold high standards for all learners and provide the support and guidance necessary to achieve these standards (Ladson-Billings, 1995; Zigmond, Kloo, &amp; Volonino, 2009</w:t>
      </w:r>
      <w:r w:rsidR="00A07D23" w:rsidRPr="00956EDA">
        <w:rPr>
          <w:rFonts w:cstheme="minorHAnsi"/>
        </w:rPr>
        <w:t>)</w:t>
      </w:r>
      <w:r w:rsidRPr="00956EDA">
        <w:rPr>
          <w:rFonts w:cstheme="minorHAnsi"/>
        </w:rPr>
        <w:t>. They must know learners’ talents and their struggles, nurturing them in the pursuit of common goals. Key to this effort, educational professionals require the knowledge and skill to differentiate instruction</w:t>
      </w:r>
      <w:r w:rsidR="00F92A31" w:rsidRPr="00956EDA">
        <w:rPr>
          <w:rFonts w:cstheme="minorHAnsi"/>
        </w:rPr>
        <w:t xml:space="preserve"> and other interactions with students</w:t>
      </w:r>
      <w:r w:rsidRPr="00956EDA">
        <w:rPr>
          <w:rFonts w:cstheme="minorHAnsi"/>
        </w:rPr>
        <w:t xml:space="preserve"> across a variety of dimensions, but most commonly across identified disabilities, language, and race or ethnicity. Whether it is through the materials they use, the curriculum they create, the kinds of </w:t>
      </w:r>
      <w:r w:rsidR="00F92A31" w:rsidRPr="00956EDA">
        <w:rPr>
          <w:rFonts w:cstheme="minorHAnsi"/>
        </w:rPr>
        <w:t xml:space="preserve">relationships they cultivate, </w:t>
      </w:r>
      <w:r w:rsidR="000622ED" w:rsidRPr="00956EDA">
        <w:rPr>
          <w:rFonts w:cstheme="minorHAnsi"/>
        </w:rPr>
        <w:t xml:space="preserve">or </w:t>
      </w:r>
      <w:r w:rsidRPr="00956EDA">
        <w:rPr>
          <w:rFonts w:cstheme="minorHAnsi"/>
        </w:rPr>
        <w:t xml:space="preserve">collaboration with educational professionals across disciplines, differentiation helps ensure that students are valued and supported (Lucas, Villegas, and Freedson-Gonzalez, 2008; McLeskey &amp; Waldron, 2006; Moll, Amanti, Neff, &amp; González, 1992). </w:t>
      </w:r>
    </w:p>
    <w:p w14:paraId="1068C979" w14:textId="77777777" w:rsidR="00617B93" w:rsidRPr="00956EDA" w:rsidRDefault="00617B93" w:rsidP="00617B93">
      <w:pPr>
        <w:rPr>
          <w:rFonts w:cstheme="minorHAnsi"/>
        </w:rPr>
      </w:pPr>
      <w:r w:rsidRPr="00956EDA">
        <w:rPr>
          <w:rFonts w:cstheme="minorHAnsi"/>
          <w:b/>
          <w:i/>
        </w:rPr>
        <w:t>Our Practices</w:t>
      </w:r>
      <w:r w:rsidRPr="00956EDA">
        <w:rPr>
          <w:rFonts w:cstheme="minorHAnsi"/>
          <w:b/>
        </w:rPr>
        <w:t>.</w:t>
      </w:r>
      <w:r w:rsidRPr="00956EDA">
        <w:rPr>
          <w:rFonts w:cstheme="minorHAnsi"/>
        </w:rPr>
        <w:t xml:space="preserve"> To do so, UNCG’s professional education programs aim to “make differences ordinary” (McLeskey &amp; Waldron, 2007, p. 168) through the combination of conceptual learning and extensive field experiences. Our </w:t>
      </w:r>
      <w:r w:rsidR="00A07D23" w:rsidRPr="00956EDA">
        <w:rPr>
          <w:rFonts w:cstheme="minorHAnsi"/>
        </w:rPr>
        <w:t>candidates’</w:t>
      </w:r>
      <w:r w:rsidRPr="00956EDA">
        <w:rPr>
          <w:rFonts w:cstheme="minorHAnsi"/>
        </w:rPr>
        <w:t xml:space="preserve"> preparation includes opportunities to study, observe, and engage diverse learner</w:t>
      </w:r>
      <w:r w:rsidR="000622ED" w:rsidRPr="00956EDA">
        <w:rPr>
          <w:rFonts w:cstheme="minorHAnsi"/>
        </w:rPr>
        <w:t xml:space="preserve">s, faculty and families in a variety of settings. </w:t>
      </w:r>
      <w:r w:rsidR="004F3210" w:rsidRPr="00956EDA">
        <w:rPr>
          <w:rFonts w:cstheme="minorHAnsi"/>
        </w:rPr>
        <w:t>They</w:t>
      </w:r>
      <w:r w:rsidRPr="00956EDA">
        <w:rPr>
          <w:rFonts w:cstheme="minorHAnsi"/>
        </w:rPr>
        <w:t xml:space="preserve"> reflect on these experiences, their responses to these experiences, and </w:t>
      </w:r>
      <w:r w:rsidR="00A07D23" w:rsidRPr="00956EDA">
        <w:rPr>
          <w:rFonts w:cstheme="minorHAnsi"/>
        </w:rPr>
        <w:t>the</w:t>
      </w:r>
      <w:r w:rsidRPr="00956EDA">
        <w:rPr>
          <w:rFonts w:cstheme="minorHAnsi"/>
        </w:rPr>
        <w:t xml:space="preserve"> impact</w:t>
      </w:r>
      <w:r w:rsidR="00A07D23" w:rsidRPr="00956EDA">
        <w:rPr>
          <w:rFonts w:cstheme="minorHAnsi"/>
        </w:rPr>
        <w:t xml:space="preserve"> of these experiences</w:t>
      </w:r>
      <w:r w:rsidRPr="00956EDA">
        <w:rPr>
          <w:rFonts w:cstheme="minorHAnsi"/>
        </w:rPr>
        <w:t xml:space="preserve"> on their professional identities and practices. </w:t>
      </w:r>
      <w:r w:rsidR="00A04E70" w:rsidRPr="00956EDA">
        <w:rPr>
          <w:rFonts w:cstheme="minorHAnsi"/>
        </w:rPr>
        <w:t>All candidates take courses about diversity and learn to differentiate their practice based on individual and group characteristics. Finally, coursework and assignment</w:t>
      </w:r>
      <w:r w:rsidR="000622ED" w:rsidRPr="00956EDA">
        <w:rPr>
          <w:rFonts w:cstheme="minorHAnsi"/>
        </w:rPr>
        <w:t>s</w:t>
      </w:r>
      <w:r w:rsidR="00A04E70" w:rsidRPr="00956EDA">
        <w:rPr>
          <w:rFonts w:cstheme="minorHAnsi"/>
        </w:rPr>
        <w:t xml:space="preserve"> completed in the field are coordinated, so that students’ are able not only to understand and appreciate differences, but to apply their knowledge and dispositions in real world </w:t>
      </w:r>
      <w:r w:rsidR="000622ED" w:rsidRPr="00956EDA">
        <w:rPr>
          <w:rFonts w:cstheme="minorHAnsi"/>
        </w:rPr>
        <w:t>contexts</w:t>
      </w:r>
      <w:r w:rsidR="00A04E70" w:rsidRPr="00956EDA">
        <w:rPr>
          <w:rFonts w:cstheme="minorHAnsi"/>
        </w:rPr>
        <w:t xml:space="preserve">. </w:t>
      </w:r>
      <w:r w:rsidRPr="00956EDA">
        <w:rPr>
          <w:rFonts w:cstheme="minorHAnsi"/>
        </w:rPr>
        <w:t xml:space="preserve">For example, </w:t>
      </w:r>
      <w:r w:rsidR="00A04E70" w:rsidRPr="00956EDA">
        <w:rPr>
          <w:rFonts w:cstheme="minorHAnsi"/>
        </w:rPr>
        <w:t>teacher education candidates study cultural and education diversity, engage in self-study and case studies of learners, and ultimately apply what they learn in the field, developing instructional plans that are responsive</w:t>
      </w:r>
      <w:r w:rsidR="003D642D" w:rsidRPr="00956EDA">
        <w:rPr>
          <w:rFonts w:cstheme="minorHAnsi"/>
        </w:rPr>
        <w:t xml:space="preserve"> to learners’ diverse needs. Advanced licensure programs not only study cultural, social and education diversity in depth, they also </w:t>
      </w:r>
      <w:r w:rsidR="000622ED" w:rsidRPr="00956EDA">
        <w:rPr>
          <w:rFonts w:cstheme="minorHAnsi"/>
        </w:rPr>
        <w:t>use their knowledge and skills</w:t>
      </w:r>
      <w:r w:rsidR="003D642D" w:rsidRPr="00956EDA">
        <w:rPr>
          <w:rFonts w:cstheme="minorHAnsi"/>
        </w:rPr>
        <w:t xml:space="preserve"> to create culturally responsive programs and to advocate for the diverse interests of their students. To ensure that candidates are prepared to create and support equitable and safe educational environments that enhance student learning, all programs require portfolio artifacts</w:t>
      </w:r>
      <w:r w:rsidR="000622ED" w:rsidRPr="00956EDA">
        <w:rPr>
          <w:rFonts w:cstheme="minorHAnsi"/>
        </w:rPr>
        <w:t>,</w:t>
      </w:r>
      <w:r w:rsidR="003D642D" w:rsidRPr="00956EDA">
        <w:rPr>
          <w:rFonts w:cstheme="minorHAnsi"/>
        </w:rPr>
        <w:t xml:space="preserve"> course </w:t>
      </w:r>
      <w:r w:rsidR="000622ED" w:rsidRPr="00956EDA">
        <w:rPr>
          <w:rFonts w:cstheme="minorHAnsi"/>
        </w:rPr>
        <w:t>assignments and/</w:t>
      </w:r>
      <w:r w:rsidR="003D642D" w:rsidRPr="00956EDA">
        <w:rPr>
          <w:rFonts w:cstheme="minorHAnsi"/>
        </w:rPr>
        <w:t>or capstone projects, along with assessme</w:t>
      </w:r>
      <w:r w:rsidR="000622ED" w:rsidRPr="00956EDA">
        <w:rPr>
          <w:rFonts w:cstheme="minorHAnsi"/>
        </w:rPr>
        <w:t>nts of professional dispositions</w:t>
      </w:r>
      <w:r w:rsidR="003D642D" w:rsidRPr="00956EDA">
        <w:rPr>
          <w:rFonts w:cstheme="minorHAnsi"/>
        </w:rPr>
        <w:t xml:space="preserve">. </w:t>
      </w:r>
    </w:p>
    <w:p w14:paraId="1F05E72C" w14:textId="77777777" w:rsidR="00B670C1" w:rsidRPr="00956EDA" w:rsidRDefault="00D26E1C" w:rsidP="00697AEF">
      <w:pPr>
        <w:pStyle w:val="Normal1"/>
        <w:spacing w:after="200"/>
        <w:rPr>
          <w:rFonts w:asciiTheme="minorHAnsi" w:hAnsiTheme="minorHAnsi" w:cstheme="minorHAnsi"/>
          <w:b/>
          <w:szCs w:val="22"/>
        </w:rPr>
      </w:pPr>
      <w:r w:rsidRPr="00956EDA">
        <w:rPr>
          <w:rFonts w:asciiTheme="minorHAnsi" w:eastAsia="Times New Roman" w:hAnsiTheme="minorHAnsi" w:cstheme="minorHAnsi"/>
          <w:b/>
          <w:bCs/>
          <w:szCs w:val="22"/>
        </w:rPr>
        <w:t xml:space="preserve">Professional Focus V: </w:t>
      </w:r>
      <w:r w:rsidR="00C51369" w:rsidRPr="00956EDA">
        <w:rPr>
          <w:rFonts w:asciiTheme="minorHAnsi" w:hAnsiTheme="minorHAnsi" w:cstheme="minorHAnsi"/>
          <w:b/>
          <w:szCs w:val="22"/>
        </w:rPr>
        <w:t>Data-driven Decision Making</w:t>
      </w:r>
    </w:p>
    <w:p w14:paraId="40825003" w14:textId="392D7E69" w:rsidR="000D4E77" w:rsidRPr="00956EDA" w:rsidRDefault="00760337" w:rsidP="00697AEF">
      <w:pPr>
        <w:spacing w:before="240"/>
        <w:rPr>
          <w:rFonts w:cstheme="minorHAnsi"/>
          <w:b/>
          <w:i/>
        </w:rPr>
      </w:pPr>
      <w:r w:rsidRPr="00956EDA">
        <w:rPr>
          <w:rFonts w:cstheme="minorHAnsi"/>
          <w:b/>
          <w:i/>
        </w:rPr>
        <w:lastRenderedPageBreak/>
        <w:t>Our Commitments</w:t>
      </w:r>
      <w:r w:rsidRPr="00956EDA">
        <w:rPr>
          <w:rFonts w:cstheme="minorHAnsi"/>
          <w:b/>
        </w:rPr>
        <w:t xml:space="preserve">. </w:t>
      </w:r>
      <w:r w:rsidR="00697AEF" w:rsidRPr="00956EDA">
        <w:rPr>
          <w:rFonts w:cstheme="minorHAnsi"/>
        </w:rPr>
        <w:t xml:space="preserve">The skillful collection, analysis and use of assessment data is critical to candidates’ professional practice and, ultimately, to B-12 student achievement and school </w:t>
      </w:r>
      <w:r w:rsidR="00956AB3" w:rsidRPr="00956EDA">
        <w:rPr>
          <w:rFonts w:cstheme="minorHAnsi"/>
        </w:rPr>
        <w:t>improvement</w:t>
      </w:r>
      <w:r w:rsidR="00697AEF" w:rsidRPr="00956EDA">
        <w:rPr>
          <w:rFonts w:cstheme="minorHAnsi"/>
        </w:rPr>
        <w:t>. Our candidates must be able to identify and select assessment measures that are appropriate to their disciplines</w:t>
      </w:r>
      <w:r w:rsidR="007618EC" w:rsidRPr="00956EDA">
        <w:rPr>
          <w:rFonts w:cstheme="minorHAnsi"/>
        </w:rPr>
        <w:t>, particular instruction,</w:t>
      </w:r>
      <w:r w:rsidR="00697AEF" w:rsidRPr="00956EDA">
        <w:rPr>
          <w:rFonts w:cstheme="minorHAnsi"/>
        </w:rPr>
        <w:t xml:space="preserve"> </w:t>
      </w:r>
      <w:r w:rsidR="007618EC" w:rsidRPr="00956EDA">
        <w:rPr>
          <w:rFonts w:cstheme="minorHAnsi"/>
        </w:rPr>
        <w:t>and to student</w:t>
      </w:r>
      <w:r w:rsidR="007A0A42" w:rsidRPr="00956EDA">
        <w:rPr>
          <w:rFonts w:cstheme="minorHAnsi"/>
        </w:rPr>
        <w:t xml:space="preserve"> and school needs</w:t>
      </w:r>
      <w:r w:rsidR="00697AEF" w:rsidRPr="00956EDA">
        <w:rPr>
          <w:rFonts w:cstheme="minorHAnsi"/>
        </w:rPr>
        <w:t>. They must know how to use data to track student progress and make informed modifications to instruction</w:t>
      </w:r>
      <w:r w:rsidR="0095573E" w:rsidRPr="00956EDA">
        <w:rPr>
          <w:rFonts w:cstheme="minorHAnsi"/>
        </w:rPr>
        <w:t>,</w:t>
      </w:r>
      <w:r w:rsidR="0022595E" w:rsidRPr="00956EDA">
        <w:rPr>
          <w:rFonts w:cstheme="minorHAnsi"/>
        </w:rPr>
        <w:t xml:space="preserve"> </w:t>
      </w:r>
      <w:r w:rsidR="00C20BEC" w:rsidRPr="00956EDA">
        <w:rPr>
          <w:rFonts w:cstheme="minorHAnsi"/>
        </w:rPr>
        <w:t>curricula</w:t>
      </w:r>
      <w:r w:rsidR="0095573E" w:rsidRPr="00956EDA">
        <w:rPr>
          <w:rFonts w:cstheme="minorHAnsi"/>
        </w:rPr>
        <w:t xml:space="preserve">, </w:t>
      </w:r>
      <w:r w:rsidR="007A0A42" w:rsidRPr="00956EDA">
        <w:rPr>
          <w:rFonts w:cstheme="minorHAnsi"/>
        </w:rPr>
        <w:t xml:space="preserve">resources, student support </w:t>
      </w:r>
      <w:r w:rsidR="0095573E" w:rsidRPr="00956EDA">
        <w:rPr>
          <w:rFonts w:cstheme="minorHAnsi"/>
        </w:rPr>
        <w:t>and the school organization itself</w:t>
      </w:r>
      <w:r w:rsidR="00697AEF" w:rsidRPr="00956EDA">
        <w:rPr>
          <w:rFonts w:cstheme="minorHAnsi"/>
        </w:rPr>
        <w:t xml:space="preserve">. They must value practice that is undergirded with clear, objective and well interpreted data. During coursework and practica, then, UNCG candidates </w:t>
      </w:r>
      <w:r w:rsidR="0022595E" w:rsidRPr="00956EDA">
        <w:rPr>
          <w:rFonts w:cstheme="minorHAnsi"/>
        </w:rPr>
        <w:t xml:space="preserve">must </w:t>
      </w:r>
      <w:r w:rsidR="00697AEF" w:rsidRPr="00956EDA">
        <w:rPr>
          <w:rFonts w:cstheme="minorHAnsi"/>
        </w:rPr>
        <w:t xml:space="preserve">have repeated opportunities to work with data from various assessment measures – standardized and </w:t>
      </w:r>
      <w:r w:rsidR="00D66DDE" w:rsidRPr="00956EDA">
        <w:rPr>
          <w:rFonts w:cstheme="minorHAnsi"/>
        </w:rPr>
        <w:t xml:space="preserve">locally </w:t>
      </w:r>
      <w:r w:rsidR="00697AEF" w:rsidRPr="00956EDA">
        <w:rPr>
          <w:rFonts w:cstheme="minorHAnsi"/>
        </w:rPr>
        <w:t>constructed, summative and formative. They</w:t>
      </w:r>
      <w:r w:rsidR="0095573E" w:rsidRPr="00956EDA">
        <w:rPr>
          <w:rFonts w:cstheme="minorHAnsi"/>
        </w:rPr>
        <w:t xml:space="preserve"> must</w:t>
      </w:r>
      <w:r w:rsidR="00697AEF" w:rsidRPr="00956EDA">
        <w:rPr>
          <w:rFonts w:cstheme="minorHAnsi"/>
        </w:rPr>
        <w:t xml:space="preserve"> come to understand that consistent and thoughtful use of data can increase students’ learning and development, students’ engagement across multiple contexts, </w:t>
      </w:r>
      <w:r w:rsidR="00D66DDE" w:rsidRPr="00956EDA">
        <w:rPr>
          <w:rFonts w:cstheme="minorHAnsi"/>
        </w:rPr>
        <w:t xml:space="preserve">the function of schools, </w:t>
      </w:r>
      <w:r w:rsidR="00697AEF" w:rsidRPr="00956EDA">
        <w:rPr>
          <w:rFonts w:cstheme="minorHAnsi"/>
        </w:rPr>
        <w:t xml:space="preserve">and their own reflective practice. </w:t>
      </w:r>
    </w:p>
    <w:p w14:paraId="62445270" w14:textId="77777777" w:rsidR="000D4E77" w:rsidRPr="00956EDA" w:rsidRDefault="00760337" w:rsidP="000D4E77">
      <w:pPr>
        <w:spacing w:before="240"/>
        <w:rPr>
          <w:rFonts w:cstheme="minorHAnsi"/>
        </w:rPr>
      </w:pPr>
      <w:r w:rsidRPr="00956EDA">
        <w:rPr>
          <w:rFonts w:cstheme="minorHAnsi"/>
          <w:b/>
          <w:i/>
        </w:rPr>
        <w:t>Our Understandings</w:t>
      </w:r>
      <w:r w:rsidRPr="00956EDA">
        <w:rPr>
          <w:rFonts w:cstheme="minorHAnsi"/>
          <w:b/>
        </w:rPr>
        <w:t>.</w:t>
      </w:r>
      <w:r w:rsidRPr="00956EDA">
        <w:rPr>
          <w:rFonts w:cstheme="minorHAnsi"/>
        </w:rPr>
        <w:t xml:space="preserve"> </w:t>
      </w:r>
      <w:r w:rsidR="00697AEF" w:rsidRPr="00956EDA">
        <w:rPr>
          <w:rFonts w:cstheme="minorHAnsi"/>
        </w:rPr>
        <w:t>An increased reliance, over the past twenty-five years, on the use of high stakes assessments to identify effective schools and educators has greatly influenced how school professionals are prepared and what they do in the field (</w:t>
      </w:r>
      <w:r w:rsidR="00DA707F" w:rsidRPr="00956EDA">
        <w:rPr>
          <w:rFonts w:cstheme="minorHAnsi"/>
        </w:rPr>
        <w:t>Darling-Hammond, 2010;</w:t>
      </w:r>
      <w:r w:rsidR="00F0649B" w:rsidRPr="00956EDA">
        <w:rPr>
          <w:rFonts w:cstheme="minorHAnsi"/>
        </w:rPr>
        <w:t xml:space="preserve"> </w:t>
      </w:r>
      <w:r w:rsidR="00697AEF" w:rsidRPr="00956EDA">
        <w:rPr>
          <w:rFonts w:cstheme="minorHAnsi"/>
        </w:rPr>
        <w:t xml:space="preserve">Firestone et al, 2004; Popham, 2001). </w:t>
      </w:r>
      <w:r w:rsidR="00410A37" w:rsidRPr="00956EDA">
        <w:rPr>
          <w:rFonts w:cstheme="minorHAnsi"/>
        </w:rPr>
        <w:t xml:space="preserve">At the classroom and curriculum levels, </w:t>
      </w:r>
      <w:r w:rsidR="00697AEF" w:rsidRPr="00956EDA">
        <w:rPr>
          <w:rFonts w:cstheme="minorHAnsi"/>
        </w:rPr>
        <w:t xml:space="preserve">these high-stakes assessments provide vital information about achievement, particularly as it relates to previously marginalized subgroups, </w:t>
      </w:r>
      <w:r w:rsidR="00410A37" w:rsidRPr="00956EDA">
        <w:rPr>
          <w:rFonts w:cstheme="minorHAnsi"/>
        </w:rPr>
        <w:t>but they also</w:t>
      </w:r>
      <w:r w:rsidR="00697AEF" w:rsidRPr="00956EDA">
        <w:rPr>
          <w:rFonts w:cstheme="minorHAnsi"/>
        </w:rPr>
        <w:t xml:space="preserve"> encourage a simplistic view of student learning in which the dominant instructional approach may focus on a “teach to the test” mentality (Darling-Hammond, 1996; Menken, 2006; Nichols &amp; Berliner, 2007; Resnick, 2010). Researchers increasingly have criticized this approach because it narrows the curriculum to test-defined content; suppresses teacher’s creativity; fragments instruction such that non-tested content areas receive minimal, if any, emphasis; and decreases students’ opportunities to direct their own learning by making teacher-directed lessons and content coverage the primary instructional goals (Au, 2007). As we move from a focus on the mastery of discrete facts to a more complex view of learning and development, in which educators are required to prepare all students to meet 21</w:t>
      </w:r>
      <w:r w:rsidR="00697AEF" w:rsidRPr="00956EDA">
        <w:rPr>
          <w:rFonts w:cstheme="minorHAnsi"/>
          <w:vertAlign w:val="superscript"/>
        </w:rPr>
        <w:t>st</w:t>
      </w:r>
      <w:r w:rsidR="00697AEF" w:rsidRPr="00956EDA">
        <w:rPr>
          <w:rFonts w:cstheme="minorHAnsi"/>
        </w:rPr>
        <w:t xml:space="preserve"> century goals, </w:t>
      </w:r>
      <w:r w:rsidR="00410A37" w:rsidRPr="00956EDA">
        <w:rPr>
          <w:rFonts w:cstheme="minorHAnsi"/>
        </w:rPr>
        <w:t>professional preparation programs</w:t>
      </w:r>
      <w:r w:rsidR="00697AEF" w:rsidRPr="00956EDA">
        <w:rPr>
          <w:rFonts w:cstheme="minorHAnsi"/>
        </w:rPr>
        <w:t xml:space="preserve"> have had to reassess how they prepare educational leaders (Black &amp; Wiliam, 1998</w:t>
      </w:r>
      <w:r w:rsidR="00DA707F" w:rsidRPr="00956EDA">
        <w:rPr>
          <w:rFonts w:cstheme="minorHAnsi"/>
        </w:rPr>
        <w:t>; English, Papa, Mullen, &amp; Creighton, 2012</w:t>
      </w:r>
      <w:r w:rsidR="00697AEF" w:rsidRPr="00956EDA">
        <w:rPr>
          <w:rFonts w:cstheme="minorHAnsi"/>
        </w:rPr>
        <w:t xml:space="preserve">). Instead of attempting to increase achievement by matching instruction to the structure and format of mandated formal tests, educators must make instructional decisions based on a complex array of students’ cognitive, social, and personal behaviors (Miller &amp; Duffy, 2006; Resnick, 2010). They must use both summative and formative assessments to track student growth to adapt the curriculum based on the diversity of students’ progress, needs, interests, and cultural backgrounds. They must use assessment data to </w:t>
      </w:r>
      <w:r w:rsidR="00697AEF" w:rsidRPr="00956EDA">
        <w:rPr>
          <w:rFonts w:cstheme="minorHAnsi"/>
          <w:i/>
        </w:rPr>
        <w:t>inform</w:t>
      </w:r>
      <w:r w:rsidR="00697AEF" w:rsidRPr="00956EDA">
        <w:rPr>
          <w:rFonts w:cstheme="minorHAnsi"/>
        </w:rPr>
        <w:t xml:space="preserve"> rather than to simply </w:t>
      </w:r>
      <w:r w:rsidR="00697AEF" w:rsidRPr="00956EDA">
        <w:rPr>
          <w:rFonts w:cstheme="minorHAnsi"/>
          <w:i/>
        </w:rPr>
        <w:t>drive</w:t>
      </w:r>
      <w:r w:rsidR="003B7680" w:rsidRPr="00956EDA">
        <w:rPr>
          <w:rFonts w:cstheme="minorHAnsi"/>
        </w:rPr>
        <w:t xml:space="preserve"> their instruction</w:t>
      </w:r>
      <w:r w:rsidR="00697AEF" w:rsidRPr="00956EDA">
        <w:rPr>
          <w:rFonts w:cstheme="minorHAnsi"/>
        </w:rPr>
        <w:t xml:space="preserve"> (Black &amp; Wiliam, 1998; Haberman, 1991). </w:t>
      </w:r>
      <w:r w:rsidR="000D4E77" w:rsidRPr="00956EDA">
        <w:rPr>
          <w:rFonts w:cstheme="minorHAnsi"/>
        </w:rPr>
        <w:t xml:space="preserve"> </w:t>
      </w:r>
      <w:r w:rsidR="007618EC" w:rsidRPr="00956EDA">
        <w:rPr>
          <w:rFonts w:cstheme="minorHAnsi"/>
        </w:rPr>
        <w:t xml:space="preserve">Similarly, other school based professionals must have the skills to collect, analyze and use data to inform </w:t>
      </w:r>
      <w:r w:rsidR="00410A37" w:rsidRPr="00956EDA">
        <w:rPr>
          <w:rFonts w:cstheme="minorHAnsi"/>
        </w:rPr>
        <w:t xml:space="preserve">school, </w:t>
      </w:r>
      <w:r w:rsidR="0022595E" w:rsidRPr="00956EDA">
        <w:rPr>
          <w:rFonts w:cstheme="minorHAnsi"/>
        </w:rPr>
        <w:t>district</w:t>
      </w:r>
      <w:r w:rsidR="00410A37" w:rsidRPr="00956EDA">
        <w:rPr>
          <w:rFonts w:cstheme="minorHAnsi"/>
        </w:rPr>
        <w:t xml:space="preserve"> and community agency</w:t>
      </w:r>
      <w:r w:rsidR="0022595E" w:rsidRPr="00956EDA">
        <w:rPr>
          <w:rFonts w:cstheme="minorHAnsi"/>
        </w:rPr>
        <w:t xml:space="preserve"> decisions</w:t>
      </w:r>
      <w:r w:rsidR="00AA71A7" w:rsidRPr="00956EDA">
        <w:rPr>
          <w:rFonts w:cstheme="minorHAnsi"/>
        </w:rPr>
        <w:t xml:space="preserve"> (</w:t>
      </w:r>
      <w:proofErr w:type="spellStart"/>
      <w:r w:rsidR="00AA71A7" w:rsidRPr="00956EDA">
        <w:rPr>
          <w:rFonts w:cstheme="minorHAnsi"/>
        </w:rPr>
        <w:t>Bambrick-Santoyo</w:t>
      </w:r>
      <w:proofErr w:type="spellEnd"/>
      <w:r w:rsidR="00AA71A7" w:rsidRPr="00956EDA">
        <w:rPr>
          <w:rFonts w:cstheme="minorHAnsi"/>
        </w:rPr>
        <w:t>, 2010)</w:t>
      </w:r>
      <w:r w:rsidR="0022595E" w:rsidRPr="00956EDA">
        <w:rPr>
          <w:rFonts w:cstheme="minorHAnsi"/>
        </w:rPr>
        <w:t xml:space="preserve">. </w:t>
      </w:r>
      <w:r w:rsidR="007A0A42" w:rsidRPr="00956EDA">
        <w:rPr>
          <w:rFonts w:cstheme="minorHAnsi"/>
        </w:rPr>
        <w:t xml:space="preserve"> </w:t>
      </w:r>
      <w:r w:rsidR="007618EC" w:rsidRPr="00956EDA">
        <w:rPr>
          <w:rFonts w:cstheme="minorHAnsi"/>
        </w:rPr>
        <w:t>Administrators, s</w:t>
      </w:r>
      <w:r w:rsidR="007A0A42" w:rsidRPr="00956EDA">
        <w:rPr>
          <w:rFonts w:cstheme="minorHAnsi"/>
        </w:rPr>
        <w:t>chool counselors</w:t>
      </w:r>
      <w:r w:rsidR="007618EC" w:rsidRPr="00956EDA">
        <w:rPr>
          <w:rFonts w:cstheme="minorHAnsi"/>
        </w:rPr>
        <w:t>, school social workers and media specialist</w:t>
      </w:r>
      <w:r w:rsidR="00E948FF" w:rsidRPr="00956EDA">
        <w:rPr>
          <w:rFonts w:cstheme="minorHAnsi"/>
        </w:rPr>
        <w:t>s</w:t>
      </w:r>
      <w:r w:rsidR="007618EC" w:rsidRPr="00956EDA">
        <w:rPr>
          <w:rFonts w:cstheme="minorHAnsi"/>
        </w:rPr>
        <w:t xml:space="preserve"> must </w:t>
      </w:r>
      <w:r w:rsidR="007A0A42" w:rsidRPr="00956EDA">
        <w:rPr>
          <w:rFonts w:cstheme="minorHAnsi"/>
        </w:rPr>
        <w:t xml:space="preserve">use assessments data to identify gaps in student achievement, </w:t>
      </w:r>
      <w:r w:rsidR="00064FF3" w:rsidRPr="00956EDA">
        <w:rPr>
          <w:rFonts w:cstheme="minorHAnsi"/>
        </w:rPr>
        <w:t xml:space="preserve">respond to individual students’ needs, </w:t>
      </w:r>
      <w:r w:rsidR="00E948FF" w:rsidRPr="00956EDA">
        <w:rPr>
          <w:rFonts w:cstheme="minorHAnsi"/>
        </w:rPr>
        <w:t>and develop procedures and ensure resources that support student learning.</w:t>
      </w:r>
      <w:r w:rsidR="007A0A42" w:rsidRPr="00956EDA">
        <w:rPr>
          <w:rFonts w:cstheme="minorHAnsi"/>
        </w:rPr>
        <w:t xml:space="preserve"> </w:t>
      </w:r>
      <w:r w:rsidR="0022595E" w:rsidRPr="00956EDA">
        <w:rPr>
          <w:rFonts w:cstheme="minorHAnsi"/>
        </w:rPr>
        <w:t xml:space="preserve">Overall, </w:t>
      </w:r>
      <w:r w:rsidR="009C7D50" w:rsidRPr="00956EDA">
        <w:rPr>
          <w:rFonts w:cstheme="minorHAnsi"/>
        </w:rPr>
        <w:t>all professionals</w:t>
      </w:r>
      <w:r w:rsidR="000D4E77" w:rsidRPr="00956EDA">
        <w:rPr>
          <w:rFonts w:cstheme="minorHAnsi"/>
        </w:rPr>
        <w:t xml:space="preserve"> must understand how data-driven decisions help them respond to the goals of achieving excellence and equity for every student </w:t>
      </w:r>
      <w:r w:rsidR="009C7D50" w:rsidRPr="00956EDA">
        <w:rPr>
          <w:rFonts w:cstheme="minorHAnsi"/>
        </w:rPr>
        <w:t xml:space="preserve">as they prepare to be college and career ready </w:t>
      </w:r>
      <w:r w:rsidR="000D4E77" w:rsidRPr="00956EDA">
        <w:rPr>
          <w:rFonts w:cstheme="minorHAnsi"/>
        </w:rPr>
        <w:t>(</w:t>
      </w:r>
      <w:r w:rsidR="00AA71A7" w:rsidRPr="00956EDA">
        <w:rPr>
          <w:rFonts w:cstheme="minorHAnsi"/>
        </w:rPr>
        <w:t>American School Counselor Association</w:t>
      </w:r>
      <w:r w:rsidR="009C7D50" w:rsidRPr="00956EDA">
        <w:rPr>
          <w:rFonts w:cstheme="minorHAnsi"/>
        </w:rPr>
        <w:t xml:space="preserve">, 2012; </w:t>
      </w:r>
      <w:r w:rsidR="00AA71A7" w:rsidRPr="00956EDA">
        <w:rPr>
          <w:rFonts w:cstheme="minorHAnsi"/>
        </w:rPr>
        <w:t>American Association of School Librarians</w:t>
      </w:r>
      <w:r w:rsidR="00B57A08" w:rsidRPr="00956EDA">
        <w:rPr>
          <w:rFonts w:cstheme="minorHAnsi"/>
        </w:rPr>
        <w:t xml:space="preserve">, 2009; </w:t>
      </w:r>
      <w:proofErr w:type="spellStart"/>
      <w:r w:rsidR="00D67E0F" w:rsidRPr="00956EDA">
        <w:rPr>
          <w:rFonts w:eastAsia="Times New Roman" w:cstheme="minorHAnsi"/>
          <w:sz w:val="24"/>
          <w:szCs w:val="24"/>
        </w:rPr>
        <w:t>Blankenstein</w:t>
      </w:r>
      <w:proofErr w:type="spellEnd"/>
      <w:r w:rsidR="00D67E0F" w:rsidRPr="00956EDA">
        <w:rPr>
          <w:rFonts w:eastAsia="Times New Roman" w:cstheme="minorHAnsi"/>
          <w:sz w:val="24"/>
          <w:szCs w:val="24"/>
        </w:rPr>
        <w:t xml:space="preserve">, Houston, &amp; Cole, 2010; </w:t>
      </w:r>
      <w:r w:rsidR="00D67E0F" w:rsidRPr="00956EDA">
        <w:rPr>
          <w:rFonts w:cstheme="minorHAnsi"/>
        </w:rPr>
        <w:t>Chappuis &amp; Stiggins, 2002;</w:t>
      </w:r>
      <w:r w:rsidR="00DF3C72" w:rsidRPr="00956EDA">
        <w:rPr>
          <w:rFonts w:cstheme="minorHAnsi"/>
        </w:rPr>
        <w:t xml:space="preserve"> </w:t>
      </w:r>
      <w:r w:rsidR="00D67E0F" w:rsidRPr="00956EDA">
        <w:rPr>
          <w:rFonts w:eastAsia="Times New Roman" w:cstheme="minorHAnsi"/>
          <w:sz w:val="24"/>
          <w:szCs w:val="24"/>
        </w:rPr>
        <w:t xml:space="preserve">Earl &amp; Katz, 2006; </w:t>
      </w:r>
      <w:proofErr w:type="spellStart"/>
      <w:r w:rsidR="00D67E0F" w:rsidRPr="00956EDA">
        <w:rPr>
          <w:rFonts w:eastAsia="Times New Roman" w:cstheme="minorHAnsi"/>
          <w:sz w:val="24"/>
          <w:szCs w:val="24"/>
        </w:rPr>
        <w:lastRenderedPageBreak/>
        <w:t>Goldring</w:t>
      </w:r>
      <w:proofErr w:type="spellEnd"/>
      <w:r w:rsidR="00D67E0F" w:rsidRPr="00956EDA">
        <w:rPr>
          <w:rFonts w:eastAsia="Times New Roman" w:cstheme="minorHAnsi"/>
          <w:sz w:val="24"/>
          <w:szCs w:val="24"/>
        </w:rPr>
        <w:t xml:space="preserve"> &amp; </w:t>
      </w:r>
      <w:proofErr w:type="spellStart"/>
      <w:r w:rsidR="00D67E0F" w:rsidRPr="00956EDA">
        <w:rPr>
          <w:rFonts w:eastAsia="Times New Roman" w:cstheme="minorHAnsi"/>
          <w:sz w:val="24"/>
          <w:szCs w:val="24"/>
        </w:rPr>
        <w:t>Berends</w:t>
      </w:r>
      <w:proofErr w:type="spellEnd"/>
      <w:r w:rsidR="00D67E0F" w:rsidRPr="00956EDA">
        <w:rPr>
          <w:rFonts w:eastAsia="Times New Roman" w:cstheme="minorHAnsi"/>
          <w:sz w:val="24"/>
          <w:szCs w:val="24"/>
        </w:rPr>
        <w:t xml:space="preserve">, 2009; </w:t>
      </w:r>
      <w:r w:rsidR="000D4E77" w:rsidRPr="00956EDA">
        <w:rPr>
          <w:rFonts w:cstheme="minorHAnsi"/>
        </w:rPr>
        <w:t>Miller &amp; Duffy, 2006; Miller, Duffy, Rohr, Gasparello, &amp; Mercier, 2005</w:t>
      </w:r>
      <w:r w:rsidR="00DF3C72" w:rsidRPr="00956EDA">
        <w:rPr>
          <w:rFonts w:cstheme="minorHAnsi"/>
        </w:rPr>
        <w:t>;</w:t>
      </w:r>
      <w:r w:rsidR="009C7D50" w:rsidRPr="00956EDA">
        <w:rPr>
          <w:rFonts w:cstheme="minorHAnsi"/>
        </w:rPr>
        <w:t xml:space="preserve"> NOSCA, 2012</w:t>
      </w:r>
      <w:r w:rsidR="000D4E77" w:rsidRPr="00956EDA">
        <w:rPr>
          <w:rFonts w:cstheme="minorHAnsi"/>
        </w:rPr>
        <w:t>).</w:t>
      </w:r>
    </w:p>
    <w:p w14:paraId="721B7A3C" w14:textId="77777777" w:rsidR="00C11E28" w:rsidRPr="00956EDA" w:rsidRDefault="00760337" w:rsidP="00214BCB">
      <w:pPr>
        <w:pStyle w:val="Normal1"/>
        <w:tabs>
          <w:tab w:val="left" w:pos="7546"/>
        </w:tabs>
        <w:spacing w:after="200"/>
        <w:rPr>
          <w:rFonts w:asciiTheme="minorHAnsi" w:hAnsiTheme="minorHAnsi" w:cstheme="minorHAnsi"/>
          <w:color w:val="auto"/>
          <w:szCs w:val="22"/>
        </w:rPr>
      </w:pPr>
      <w:r w:rsidRPr="00956EDA">
        <w:rPr>
          <w:rFonts w:asciiTheme="minorHAnsi" w:hAnsiTheme="minorHAnsi" w:cstheme="minorHAnsi"/>
          <w:b/>
          <w:i/>
          <w:color w:val="auto"/>
          <w:szCs w:val="22"/>
        </w:rPr>
        <w:t>Our Practices</w:t>
      </w:r>
      <w:r w:rsidRPr="00956EDA">
        <w:rPr>
          <w:rFonts w:asciiTheme="minorHAnsi" w:hAnsiTheme="minorHAnsi" w:cstheme="minorHAnsi"/>
          <w:b/>
          <w:color w:val="auto"/>
          <w:szCs w:val="22"/>
        </w:rPr>
        <w:t>.</w:t>
      </w:r>
      <w:r w:rsidRPr="00956EDA">
        <w:rPr>
          <w:rFonts w:asciiTheme="minorHAnsi" w:hAnsiTheme="minorHAnsi" w:cstheme="minorHAnsi"/>
          <w:color w:val="auto"/>
          <w:szCs w:val="22"/>
        </w:rPr>
        <w:t xml:space="preserve"> </w:t>
      </w:r>
      <w:r w:rsidR="009C7D50" w:rsidRPr="00956EDA">
        <w:rPr>
          <w:rFonts w:asciiTheme="minorHAnsi" w:hAnsiTheme="minorHAnsi" w:cstheme="minorHAnsi"/>
          <w:color w:val="auto"/>
          <w:szCs w:val="22"/>
        </w:rPr>
        <w:t xml:space="preserve"> </w:t>
      </w:r>
      <w:r w:rsidR="00697AEF" w:rsidRPr="00956EDA">
        <w:rPr>
          <w:rFonts w:asciiTheme="minorHAnsi" w:hAnsiTheme="minorHAnsi" w:cstheme="minorHAnsi"/>
          <w:color w:val="auto"/>
          <w:szCs w:val="22"/>
        </w:rPr>
        <w:t>At UNCG, we prepare our pre-service teachers and other profession</w:t>
      </w:r>
      <w:r w:rsidR="00ED451F" w:rsidRPr="00956EDA">
        <w:rPr>
          <w:rFonts w:asciiTheme="minorHAnsi" w:hAnsiTheme="minorHAnsi" w:cstheme="minorHAnsi"/>
          <w:color w:val="auto"/>
          <w:szCs w:val="22"/>
        </w:rPr>
        <w:t xml:space="preserve">als to use an approach whereby </w:t>
      </w:r>
      <w:r w:rsidR="00697AEF" w:rsidRPr="00956EDA">
        <w:rPr>
          <w:rFonts w:asciiTheme="minorHAnsi" w:hAnsiTheme="minorHAnsi" w:cstheme="minorHAnsi"/>
          <w:color w:val="auto"/>
          <w:szCs w:val="22"/>
        </w:rPr>
        <w:t>assessment informs</w:t>
      </w:r>
      <w:r w:rsidR="00ED451F" w:rsidRPr="00956EDA">
        <w:rPr>
          <w:rFonts w:asciiTheme="minorHAnsi" w:hAnsiTheme="minorHAnsi" w:cstheme="minorHAnsi"/>
          <w:color w:val="auto"/>
          <w:szCs w:val="22"/>
        </w:rPr>
        <w:t xml:space="preserve"> practice, decision making, institutional improvement and professional growth.</w:t>
      </w:r>
      <w:r w:rsidR="00697AEF" w:rsidRPr="00956EDA">
        <w:rPr>
          <w:rFonts w:asciiTheme="minorHAnsi" w:hAnsiTheme="minorHAnsi" w:cstheme="minorHAnsi"/>
          <w:color w:val="auto"/>
          <w:szCs w:val="22"/>
        </w:rPr>
        <w:t xml:space="preserve"> Candidates learn to balance information from formal tests (such as benchmarks and summative assessments</w:t>
      </w:r>
      <w:r w:rsidR="00D66DDE" w:rsidRPr="00956EDA">
        <w:rPr>
          <w:rFonts w:asciiTheme="minorHAnsi" w:hAnsiTheme="minorHAnsi" w:cstheme="minorHAnsi"/>
          <w:color w:val="auto"/>
          <w:szCs w:val="22"/>
        </w:rPr>
        <w:t>)</w:t>
      </w:r>
      <w:r w:rsidR="00AC4D7B" w:rsidRPr="00956EDA">
        <w:rPr>
          <w:rFonts w:asciiTheme="minorHAnsi" w:hAnsiTheme="minorHAnsi" w:cstheme="minorHAnsi"/>
          <w:color w:val="auto"/>
          <w:szCs w:val="22"/>
        </w:rPr>
        <w:t xml:space="preserve"> </w:t>
      </w:r>
      <w:r w:rsidR="00697AEF" w:rsidRPr="00956EDA">
        <w:rPr>
          <w:rFonts w:asciiTheme="minorHAnsi" w:hAnsiTheme="minorHAnsi" w:cstheme="minorHAnsi"/>
          <w:color w:val="auto"/>
          <w:szCs w:val="22"/>
        </w:rPr>
        <w:t xml:space="preserve">with that obtained from </w:t>
      </w:r>
      <w:r w:rsidR="00AC4D7B" w:rsidRPr="00956EDA">
        <w:rPr>
          <w:rFonts w:asciiTheme="minorHAnsi" w:hAnsiTheme="minorHAnsi" w:cstheme="minorHAnsi"/>
          <w:color w:val="auto"/>
          <w:szCs w:val="22"/>
        </w:rPr>
        <w:t xml:space="preserve">informal </w:t>
      </w:r>
      <w:r w:rsidR="00697AEF" w:rsidRPr="00956EDA">
        <w:rPr>
          <w:rFonts w:asciiTheme="minorHAnsi" w:hAnsiTheme="minorHAnsi" w:cstheme="minorHAnsi"/>
          <w:color w:val="auto"/>
          <w:szCs w:val="22"/>
        </w:rPr>
        <w:t>formative assessments. They learn that assessment data</w:t>
      </w:r>
      <w:r w:rsidR="00D66DDE" w:rsidRPr="00956EDA">
        <w:rPr>
          <w:rFonts w:asciiTheme="minorHAnsi" w:hAnsiTheme="minorHAnsi" w:cstheme="minorHAnsi"/>
          <w:color w:val="auto"/>
          <w:szCs w:val="22"/>
        </w:rPr>
        <w:t xml:space="preserve"> can</w:t>
      </w:r>
      <w:r w:rsidR="00697AEF" w:rsidRPr="00956EDA">
        <w:rPr>
          <w:rFonts w:asciiTheme="minorHAnsi" w:hAnsiTheme="minorHAnsi" w:cstheme="minorHAnsi"/>
          <w:color w:val="auto"/>
          <w:szCs w:val="22"/>
        </w:rPr>
        <w:t xml:space="preserve"> result in complex, fine-grained understandings about students’ learning</w:t>
      </w:r>
      <w:r w:rsidR="0095573E" w:rsidRPr="00956EDA">
        <w:rPr>
          <w:rFonts w:asciiTheme="minorHAnsi" w:hAnsiTheme="minorHAnsi" w:cstheme="minorHAnsi"/>
          <w:color w:val="auto"/>
          <w:szCs w:val="22"/>
        </w:rPr>
        <w:t xml:space="preserve"> and professional performance</w:t>
      </w:r>
      <w:r w:rsidR="00697AEF" w:rsidRPr="00956EDA">
        <w:rPr>
          <w:rFonts w:asciiTheme="minorHAnsi" w:hAnsiTheme="minorHAnsi" w:cstheme="minorHAnsi"/>
          <w:color w:val="auto"/>
          <w:szCs w:val="22"/>
        </w:rPr>
        <w:t xml:space="preserve">. </w:t>
      </w:r>
      <w:r w:rsidR="00AC4D7B" w:rsidRPr="00956EDA">
        <w:rPr>
          <w:rFonts w:asciiTheme="minorHAnsi" w:hAnsiTheme="minorHAnsi" w:cstheme="minorHAnsi"/>
          <w:color w:val="auto"/>
          <w:szCs w:val="22"/>
        </w:rPr>
        <w:t xml:space="preserve">They </w:t>
      </w:r>
      <w:r w:rsidR="000D4E77" w:rsidRPr="00956EDA">
        <w:rPr>
          <w:rFonts w:asciiTheme="minorHAnsi" w:hAnsiTheme="minorHAnsi" w:cstheme="minorHAnsi"/>
          <w:color w:val="auto"/>
          <w:szCs w:val="22"/>
        </w:rPr>
        <w:t>use data in the field to promote students’ learning</w:t>
      </w:r>
      <w:r w:rsidR="0095573E" w:rsidRPr="00956EDA">
        <w:rPr>
          <w:rFonts w:asciiTheme="minorHAnsi" w:hAnsiTheme="minorHAnsi" w:cstheme="minorHAnsi"/>
          <w:color w:val="auto"/>
          <w:szCs w:val="22"/>
        </w:rPr>
        <w:t xml:space="preserve"> through changes in instruction, curricula, </w:t>
      </w:r>
      <w:r w:rsidR="007A0A42" w:rsidRPr="00956EDA">
        <w:rPr>
          <w:rFonts w:asciiTheme="minorHAnsi" w:hAnsiTheme="minorHAnsi" w:cstheme="minorHAnsi"/>
          <w:color w:val="auto"/>
          <w:szCs w:val="22"/>
        </w:rPr>
        <w:t xml:space="preserve">student support and counseling, </w:t>
      </w:r>
      <w:r w:rsidR="0095573E" w:rsidRPr="00956EDA">
        <w:rPr>
          <w:rFonts w:asciiTheme="minorHAnsi" w:hAnsiTheme="minorHAnsi" w:cstheme="minorHAnsi"/>
          <w:color w:val="auto"/>
          <w:szCs w:val="22"/>
        </w:rPr>
        <w:t>and the organization and function of the school and district</w:t>
      </w:r>
      <w:r w:rsidR="000D4E77" w:rsidRPr="00956EDA">
        <w:rPr>
          <w:rFonts w:asciiTheme="minorHAnsi" w:hAnsiTheme="minorHAnsi" w:cstheme="minorHAnsi"/>
          <w:color w:val="auto"/>
          <w:szCs w:val="22"/>
        </w:rPr>
        <w:t xml:space="preserve">. </w:t>
      </w:r>
    </w:p>
    <w:p w14:paraId="232D510D" w14:textId="77777777" w:rsidR="001F4473" w:rsidRPr="00956EDA" w:rsidRDefault="000B2235" w:rsidP="00214BCB">
      <w:pPr>
        <w:pStyle w:val="Normal1"/>
        <w:tabs>
          <w:tab w:val="left" w:pos="7546"/>
        </w:tabs>
        <w:spacing w:after="200"/>
        <w:rPr>
          <w:rFonts w:asciiTheme="minorHAnsi" w:eastAsia="Times New Roman" w:hAnsiTheme="minorHAnsi" w:cstheme="minorHAnsi"/>
          <w:color w:val="C0504D" w:themeColor="accent2"/>
          <w:szCs w:val="22"/>
        </w:rPr>
      </w:pPr>
      <w:r w:rsidRPr="00956EDA">
        <w:rPr>
          <w:rFonts w:asciiTheme="minorHAnsi" w:hAnsiTheme="minorHAnsi" w:cstheme="minorHAnsi"/>
          <w:color w:val="auto"/>
          <w:szCs w:val="22"/>
        </w:rPr>
        <w:t xml:space="preserve">To these ends, </w:t>
      </w:r>
      <w:r w:rsidR="00ED451F" w:rsidRPr="00956EDA">
        <w:rPr>
          <w:rFonts w:asciiTheme="minorHAnsi" w:hAnsiTheme="minorHAnsi" w:cstheme="minorHAnsi"/>
          <w:color w:val="auto"/>
          <w:szCs w:val="22"/>
        </w:rPr>
        <w:t xml:space="preserve">all </w:t>
      </w:r>
      <w:r w:rsidRPr="00956EDA">
        <w:rPr>
          <w:rFonts w:asciiTheme="minorHAnsi" w:eastAsia="Times New Roman" w:hAnsiTheme="minorHAnsi" w:cstheme="minorHAnsi"/>
          <w:color w:val="auto"/>
          <w:szCs w:val="22"/>
        </w:rPr>
        <w:t xml:space="preserve">candidates </w:t>
      </w:r>
      <w:r w:rsidR="00ED451F" w:rsidRPr="00956EDA">
        <w:rPr>
          <w:rFonts w:asciiTheme="minorHAnsi" w:eastAsia="Times New Roman" w:hAnsiTheme="minorHAnsi" w:cstheme="minorHAnsi"/>
          <w:color w:val="auto"/>
          <w:szCs w:val="22"/>
        </w:rPr>
        <w:t>learn about and demonstrate their ability to use assessment in their practice. Initial licensure teaching candidates take coursework in assessment, apply that information in field placements, and</w:t>
      </w:r>
      <w:r w:rsidRPr="00956EDA">
        <w:rPr>
          <w:rFonts w:asciiTheme="minorHAnsi" w:eastAsia="Times New Roman" w:hAnsiTheme="minorHAnsi" w:cstheme="minorHAnsi"/>
          <w:color w:val="auto"/>
          <w:szCs w:val="22"/>
        </w:rPr>
        <w:t xml:space="preserve"> conduct a multi-faceted “Student Impact” study for which they collect extensive assessment data and use their data analyses to differentiate instruction. </w:t>
      </w:r>
      <w:r w:rsidR="00214BCB" w:rsidRPr="00956EDA">
        <w:rPr>
          <w:rFonts w:asciiTheme="minorHAnsi" w:eastAsia="Times New Roman" w:hAnsiTheme="minorHAnsi" w:cstheme="minorHAnsi"/>
          <w:color w:val="auto"/>
          <w:szCs w:val="22"/>
        </w:rPr>
        <w:t xml:space="preserve">Undergraduate School Social Work Students conduct a “Single Subject Assessment.” </w:t>
      </w:r>
      <w:r w:rsidR="00ED451F" w:rsidRPr="00956EDA">
        <w:rPr>
          <w:rFonts w:asciiTheme="minorHAnsi" w:eastAsia="Times New Roman" w:hAnsiTheme="minorHAnsi" w:cstheme="minorHAnsi"/>
          <w:color w:val="auto"/>
          <w:szCs w:val="22"/>
        </w:rPr>
        <w:t>Graduate-level</w:t>
      </w:r>
      <w:r w:rsidR="001F4473" w:rsidRPr="00956EDA">
        <w:rPr>
          <w:rFonts w:asciiTheme="minorHAnsi" w:eastAsia="Times New Roman" w:hAnsiTheme="minorHAnsi" w:cstheme="minorHAnsi"/>
          <w:color w:val="auto"/>
          <w:szCs w:val="22"/>
        </w:rPr>
        <w:t xml:space="preserve"> candidates take measurement a</w:t>
      </w:r>
      <w:r w:rsidR="00935AE7" w:rsidRPr="00956EDA">
        <w:rPr>
          <w:rFonts w:asciiTheme="minorHAnsi" w:eastAsia="Times New Roman" w:hAnsiTheme="minorHAnsi" w:cstheme="minorHAnsi"/>
          <w:color w:val="auto"/>
          <w:szCs w:val="22"/>
        </w:rPr>
        <w:t>nd research courses that extend</w:t>
      </w:r>
      <w:r w:rsidR="001F4473" w:rsidRPr="00956EDA">
        <w:rPr>
          <w:rFonts w:asciiTheme="minorHAnsi" w:eastAsia="Times New Roman" w:hAnsiTheme="minorHAnsi" w:cstheme="minorHAnsi"/>
          <w:color w:val="auto"/>
          <w:szCs w:val="22"/>
        </w:rPr>
        <w:t xml:space="preserve"> their understandings of assessment and provide opportunities for them to conduct school-based research.</w:t>
      </w:r>
      <w:r w:rsidR="001F4473" w:rsidRPr="00956EDA">
        <w:rPr>
          <w:rFonts w:asciiTheme="minorHAnsi" w:eastAsia="Times New Roman" w:hAnsiTheme="minorHAnsi" w:cstheme="minorHAnsi"/>
          <w:color w:val="C0504D" w:themeColor="accent2"/>
          <w:szCs w:val="22"/>
        </w:rPr>
        <w:t xml:space="preserve"> </w:t>
      </w:r>
      <w:r w:rsidR="00ED451F" w:rsidRPr="00956EDA">
        <w:rPr>
          <w:rFonts w:asciiTheme="minorHAnsi" w:hAnsiTheme="minorHAnsi" w:cstheme="minorHAnsi"/>
          <w:color w:val="auto"/>
          <w:szCs w:val="22"/>
        </w:rPr>
        <w:t>They</w:t>
      </w:r>
      <w:r w:rsidR="001F4473" w:rsidRPr="00956EDA">
        <w:rPr>
          <w:rFonts w:asciiTheme="minorHAnsi" w:hAnsiTheme="minorHAnsi" w:cstheme="minorHAnsi"/>
          <w:color w:val="auto"/>
          <w:szCs w:val="22"/>
        </w:rPr>
        <w:t xml:space="preserve"> demonstrate</w:t>
      </w:r>
      <w:r w:rsidR="001F4473" w:rsidRPr="00956EDA">
        <w:rPr>
          <w:rFonts w:asciiTheme="minorHAnsi" w:eastAsia="Times New Roman" w:hAnsiTheme="minorHAnsi" w:cstheme="minorHAnsi"/>
          <w:color w:val="auto"/>
          <w:szCs w:val="22"/>
        </w:rPr>
        <w:t xml:space="preserve"> their understanding and effective use of data-driven decision making in capstone performances and/or final portfolios.</w:t>
      </w:r>
      <w:r w:rsidR="00C00A2A" w:rsidRPr="00956EDA">
        <w:rPr>
          <w:rFonts w:asciiTheme="minorHAnsi" w:eastAsia="Times New Roman" w:hAnsiTheme="minorHAnsi" w:cstheme="minorHAnsi"/>
          <w:color w:val="auto"/>
          <w:szCs w:val="22"/>
        </w:rPr>
        <w:t xml:space="preserve"> </w:t>
      </w:r>
      <w:r w:rsidR="00935AE7" w:rsidRPr="00956EDA">
        <w:rPr>
          <w:rFonts w:asciiTheme="minorHAnsi" w:eastAsia="Times New Roman" w:hAnsiTheme="minorHAnsi" w:cstheme="minorHAnsi"/>
          <w:color w:val="auto"/>
          <w:szCs w:val="22"/>
        </w:rPr>
        <w:t>They develop the understandings and skills necessary to use data to inform decisions not only about curriculum</w:t>
      </w:r>
      <w:r w:rsidR="000F1F97" w:rsidRPr="00956EDA">
        <w:rPr>
          <w:rFonts w:asciiTheme="minorHAnsi" w:eastAsia="Times New Roman" w:hAnsiTheme="minorHAnsi" w:cstheme="minorHAnsi"/>
          <w:color w:val="auto"/>
          <w:szCs w:val="22"/>
        </w:rPr>
        <w:t>, resources</w:t>
      </w:r>
      <w:r w:rsidR="00935AE7" w:rsidRPr="00956EDA">
        <w:rPr>
          <w:rFonts w:asciiTheme="minorHAnsi" w:eastAsia="Times New Roman" w:hAnsiTheme="minorHAnsi" w:cstheme="minorHAnsi"/>
          <w:color w:val="auto"/>
          <w:szCs w:val="22"/>
        </w:rPr>
        <w:t xml:space="preserve"> </w:t>
      </w:r>
      <w:r w:rsidR="007A0A42" w:rsidRPr="00956EDA">
        <w:rPr>
          <w:rFonts w:asciiTheme="minorHAnsi" w:eastAsia="Times New Roman" w:hAnsiTheme="minorHAnsi" w:cstheme="minorHAnsi"/>
          <w:color w:val="auto"/>
          <w:szCs w:val="22"/>
        </w:rPr>
        <w:t xml:space="preserve">and </w:t>
      </w:r>
      <w:r w:rsidR="000F1F97" w:rsidRPr="00956EDA">
        <w:rPr>
          <w:rFonts w:asciiTheme="minorHAnsi" w:eastAsia="Times New Roman" w:hAnsiTheme="minorHAnsi" w:cstheme="minorHAnsi"/>
          <w:color w:val="auto"/>
          <w:szCs w:val="22"/>
        </w:rPr>
        <w:t xml:space="preserve">students’ </w:t>
      </w:r>
      <w:r w:rsidR="007A0A42" w:rsidRPr="00956EDA">
        <w:rPr>
          <w:rFonts w:asciiTheme="minorHAnsi" w:eastAsia="Times New Roman" w:hAnsiTheme="minorHAnsi" w:cstheme="minorHAnsi"/>
          <w:color w:val="auto"/>
          <w:szCs w:val="22"/>
        </w:rPr>
        <w:t xml:space="preserve">preparation for college and career, </w:t>
      </w:r>
      <w:r w:rsidR="00935AE7" w:rsidRPr="00956EDA">
        <w:rPr>
          <w:rFonts w:asciiTheme="minorHAnsi" w:eastAsia="Times New Roman" w:hAnsiTheme="minorHAnsi" w:cstheme="minorHAnsi"/>
          <w:color w:val="auto"/>
          <w:szCs w:val="22"/>
        </w:rPr>
        <w:t xml:space="preserve">but </w:t>
      </w:r>
      <w:r w:rsidR="007A0A42" w:rsidRPr="00956EDA">
        <w:rPr>
          <w:rFonts w:asciiTheme="minorHAnsi" w:eastAsia="Times New Roman" w:hAnsiTheme="minorHAnsi" w:cstheme="minorHAnsi"/>
          <w:color w:val="auto"/>
          <w:szCs w:val="22"/>
        </w:rPr>
        <w:t xml:space="preserve">also </w:t>
      </w:r>
      <w:r w:rsidR="00935AE7" w:rsidRPr="00956EDA">
        <w:rPr>
          <w:rFonts w:asciiTheme="minorHAnsi" w:eastAsia="Times New Roman" w:hAnsiTheme="minorHAnsi" w:cstheme="minorHAnsi"/>
          <w:color w:val="auto"/>
          <w:szCs w:val="22"/>
        </w:rPr>
        <w:t xml:space="preserve">about the social and emotional needs of students, the school environment, the effectiveness of faculty and staff, and the engagement of families and community. </w:t>
      </w:r>
      <w:r w:rsidR="00C00A2A" w:rsidRPr="00956EDA">
        <w:rPr>
          <w:rFonts w:asciiTheme="minorHAnsi" w:eastAsia="Times New Roman" w:hAnsiTheme="minorHAnsi" w:cstheme="minorHAnsi"/>
          <w:color w:val="auto"/>
          <w:szCs w:val="22"/>
        </w:rPr>
        <w:t xml:space="preserve">Ultimately, </w:t>
      </w:r>
      <w:r w:rsidR="00935AE7" w:rsidRPr="00956EDA">
        <w:rPr>
          <w:rFonts w:asciiTheme="minorHAnsi" w:eastAsia="Times New Roman" w:hAnsiTheme="minorHAnsi" w:cstheme="minorHAnsi"/>
          <w:color w:val="auto"/>
          <w:szCs w:val="22"/>
        </w:rPr>
        <w:t>a</w:t>
      </w:r>
      <w:r w:rsidR="00A03784" w:rsidRPr="00956EDA">
        <w:rPr>
          <w:rFonts w:asciiTheme="minorHAnsi" w:eastAsia="Times New Roman" w:hAnsiTheme="minorHAnsi" w:cstheme="minorHAnsi"/>
          <w:color w:val="auto"/>
          <w:szCs w:val="22"/>
        </w:rPr>
        <w:t>ll candid</w:t>
      </w:r>
      <w:r w:rsidR="00935AE7" w:rsidRPr="00956EDA">
        <w:rPr>
          <w:rFonts w:asciiTheme="minorHAnsi" w:eastAsia="Times New Roman" w:hAnsiTheme="minorHAnsi" w:cstheme="minorHAnsi"/>
          <w:color w:val="auto"/>
          <w:szCs w:val="22"/>
        </w:rPr>
        <w:t>ates</w:t>
      </w:r>
      <w:r w:rsidR="00C00A2A" w:rsidRPr="00956EDA">
        <w:rPr>
          <w:rFonts w:asciiTheme="minorHAnsi" w:eastAsia="Times New Roman" w:hAnsiTheme="minorHAnsi" w:cstheme="minorHAnsi"/>
          <w:color w:val="auto"/>
          <w:szCs w:val="22"/>
        </w:rPr>
        <w:t xml:space="preserve"> learn to use data to inform their work with children, their decisions about school structure, function and improvement, and their leadership on behalf of children and schools.</w:t>
      </w:r>
    </w:p>
    <w:p w14:paraId="1C8B1FF0" w14:textId="77777777" w:rsidR="003D0190" w:rsidRPr="00956EDA" w:rsidRDefault="00D26E1C" w:rsidP="00697AEF">
      <w:pPr>
        <w:pStyle w:val="Normal1"/>
        <w:tabs>
          <w:tab w:val="left" w:pos="7546"/>
        </w:tabs>
        <w:spacing w:after="200"/>
        <w:rPr>
          <w:rFonts w:asciiTheme="minorHAnsi" w:hAnsiTheme="minorHAnsi" w:cstheme="minorHAnsi"/>
          <w:b/>
          <w:szCs w:val="22"/>
        </w:rPr>
      </w:pPr>
      <w:r w:rsidRPr="00956EDA">
        <w:rPr>
          <w:rFonts w:asciiTheme="minorHAnsi" w:eastAsia="Times New Roman" w:hAnsiTheme="minorHAnsi" w:cstheme="minorHAnsi"/>
          <w:b/>
          <w:bCs/>
          <w:szCs w:val="22"/>
        </w:rPr>
        <w:t xml:space="preserve">Professional Focus VI: </w:t>
      </w:r>
      <w:r w:rsidR="003D0190" w:rsidRPr="00956EDA">
        <w:rPr>
          <w:rFonts w:asciiTheme="minorHAnsi" w:hAnsiTheme="minorHAnsi" w:cstheme="minorHAnsi"/>
          <w:b/>
          <w:szCs w:val="22"/>
        </w:rPr>
        <w:t>Professional Growth</w:t>
      </w:r>
      <w:r w:rsidR="00823949" w:rsidRPr="00956EDA">
        <w:rPr>
          <w:rFonts w:asciiTheme="minorHAnsi" w:hAnsiTheme="minorHAnsi" w:cstheme="minorHAnsi"/>
          <w:b/>
          <w:szCs w:val="22"/>
        </w:rPr>
        <w:tab/>
      </w:r>
    </w:p>
    <w:p w14:paraId="20550737" w14:textId="77777777" w:rsidR="00697AEF" w:rsidRPr="00956EDA" w:rsidRDefault="00697AEF" w:rsidP="00697AEF">
      <w:pPr>
        <w:pStyle w:val="Normal1"/>
        <w:spacing w:after="200"/>
        <w:rPr>
          <w:rFonts w:asciiTheme="minorHAnsi" w:eastAsia="Times New Roman" w:hAnsiTheme="minorHAnsi" w:cstheme="minorHAnsi"/>
          <w:szCs w:val="22"/>
        </w:rPr>
      </w:pPr>
      <w:r w:rsidRPr="00956EDA">
        <w:rPr>
          <w:rFonts w:asciiTheme="minorHAnsi" w:eastAsia="Times New Roman" w:hAnsiTheme="minorHAnsi" w:cstheme="minorHAnsi"/>
          <w:b/>
          <w:i/>
          <w:szCs w:val="22"/>
        </w:rPr>
        <w:t>Our Commitments</w:t>
      </w:r>
      <w:r w:rsidR="00760337" w:rsidRPr="00956EDA">
        <w:rPr>
          <w:rFonts w:asciiTheme="minorHAnsi" w:eastAsia="Times New Roman" w:hAnsiTheme="minorHAnsi" w:cstheme="minorHAnsi"/>
          <w:b/>
          <w:i/>
          <w:szCs w:val="22"/>
        </w:rPr>
        <w:t xml:space="preserve">. </w:t>
      </w:r>
      <w:r w:rsidRPr="00956EDA">
        <w:rPr>
          <w:rFonts w:asciiTheme="minorHAnsi" w:eastAsia="Times New Roman" w:hAnsiTheme="minorHAnsi" w:cstheme="minorHAnsi"/>
          <w:szCs w:val="22"/>
        </w:rPr>
        <w:t>We believe that educators will grow professionally and ensure excellence for all students by using data to inform professional practice, engaging in reflection, identifying needed areas for further development, and actively pursuing new avenues for professional learning. In addition, we believe that professional growth must include the pursuit of broader cultural and linguistic experiences, collaboration with others toward mutual and reciprocal goals, and a commitment to equitable access and outcomes for all members of the community. These are at the heart of professional growth at UNCG.</w:t>
      </w:r>
    </w:p>
    <w:p w14:paraId="79029854" w14:textId="77777777" w:rsidR="00697AEF" w:rsidRPr="00956EDA" w:rsidRDefault="00697AEF" w:rsidP="00760337">
      <w:pPr>
        <w:pStyle w:val="Normal1"/>
        <w:spacing w:after="200"/>
        <w:rPr>
          <w:rFonts w:asciiTheme="minorHAnsi" w:hAnsiTheme="minorHAnsi" w:cstheme="minorHAnsi"/>
          <w:szCs w:val="22"/>
        </w:rPr>
      </w:pPr>
      <w:r w:rsidRPr="00956EDA">
        <w:rPr>
          <w:rFonts w:asciiTheme="minorHAnsi" w:eastAsia="Times New Roman" w:hAnsiTheme="minorHAnsi" w:cstheme="minorHAnsi"/>
          <w:b/>
          <w:i/>
          <w:szCs w:val="22"/>
        </w:rPr>
        <w:t>Our Understandings</w:t>
      </w:r>
      <w:r w:rsidR="00760337" w:rsidRPr="00956EDA">
        <w:rPr>
          <w:rFonts w:asciiTheme="minorHAnsi" w:eastAsia="Times New Roman" w:hAnsiTheme="minorHAnsi" w:cstheme="minorHAnsi"/>
          <w:b/>
          <w:i/>
          <w:szCs w:val="22"/>
        </w:rPr>
        <w:t xml:space="preserve">. </w:t>
      </w:r>
      <w:r w:rsidRPr="00956EDA">
        <w:rPr>
          <w:rFonts w:asciiTheme="minorHAnsi" w:eastAsia="Times New Roman" w:hAnsiTheme="minorHAnsi" w:cstheme="minorHAnsi"/>
          <w:szCs w:val="22"/>
        </w:rPr>
        <w:t>Educational scholars such as Darling-Hammond and Bransford (2006), Cochran-Smith, Feiman-Nemser, McIntyre, and Demers (2008), and Villegas and Lucas (2002)</w:t>
      </w:r>
      <w:r w:rsidR="00AB7462" w:rsidRPr="00956EDA">
        <w:rPr>
          <w:rFonts w:asciiTheme="minorHAnsi" w:eastAsia="Times New Roman" w:hAnsiTheme="minorHAnsi" w:cstheme="minorHAnsi"/>
          <w:szCs w:val="22"/>
        </w:rPr>
        <w:t>,</w:t>
      </w:r>
      <w:r w:rsidRPr="00956EDA">
        <w:rPr>
          <w:rFonts w:asciiTheme="minorHAnsi" w:eastAsia="Times New Roman" w:hAnsiTheme="minorHAnsi" w:cstheme="minorHAnsi"/>
          <w:szCs w:val="22"/>
        </w:rPr>
        <w:t xml:space="preserve">  who write about the preparation of education professionals for the 21</w:t>
      </w:r>
      <w:r w:rsidRPr="00956EDA">
        <w:rPr>
          <w:rFonts w:asciiTheme="minorHAnsi" w:eastAsia="Times New Roman" w:hAnsiTheme="minorHAnsi" w:cstheme="minorHAnsi"/>
          <w:szCs w:val="22"/>
          <w:vertAlign w:val="superscript"/>
        </w:rPr>
        <w:t>st</w:t>
      </w:r>
      <w:r w:rsidRPr="00956EDA">
        <w:rPr>
          <w:rFonts w:asciiTheme="minorHAnsi" w:eastAsia="Times New Roman" w:hAnsiTheme="minorHAnsi" w:cstheme="minorHAnsi"/>
          <w:szCs w:val="22"/>
        </w:rPr>
        <w:t xml:space="preserve"> century, support our on-going focus on addressing issues of diversity, technology, leadership, and reflective practice. They further support our goal that future generations of educators and leaders prepared at UNCG will be ready for career-long growth as education professionals through</w:t>
      </w:r>
    </w:p>
    <w:p w14:paraId="739AB610" w14:textId="77777777" w:rsidR="00697AEF" w:rsidRPr="00956EDA" w:rsidRDefault="00697AEF" w:rsidP="00697AEF">
      <w:pPr>
        <w:pStyle w:val="Normal1"/>
        <w:ind w:left="400" w:hanging="200"/>
        <w:rPr>
          <w:rFonts w:asciiTheme="minorHAnsi" w:hAnsiTheme="minorHAnsi" w:cstheme="minorHAnsi"/>
          <w:szCs w:val="22"/>
        </w:rPr>
      </w:pPr>
      <w:r w:rsidRPr="00956EDA">
        <w:rPr>
          <w:rFonts w:asciiTheme="minorHAnsi" w:hAnsiTheme="minorHAnsi" w:cstheme="minorHAnsi"/>
          <w:szCs w:val="22"/>
        </w:rPr>
        <w:lastRenderedPageBreak/>
        <w:t xml:space="preserve">·   </w:t>
      </w:r>
      <w:proofErr w:type="gramStart"/>
      <w:r w:rsidRPr="00956EDA">
        <w:rPr>
          <w:rFonts w:asciiTheme="minorHAnsi" w:eastAsia="Times New Roman" w:hAnsiTheme="minorHAnsi" w:cstheme="minorHAnsi"/>
          <w:szCs w:val="22"/>
        </w:rPr>
        <w:t>reflection</w:t>
      </w:r>
      <w:proofErr w:type="gramEnd"/>
      <w:r w:rsidRPr="00956EDA">
        <w:rPr>
          <w:rFonts w:asciiTheme="minorHAnsi" w:eastAsia="Times New Roman" w:hAnsiTheme="minorHAnsi" w:cstheme="minorHAnsi"/>
          <w:szCs w:val="22"/>
        </w:rPr>
        <w:t xml:space="preserve"> and action that leads to self-awareness and new understandings of practice,</w:t>
      </w:r>
    </w:p>
    <w:p w14:paraId="11478538" w14:textId="77777777" w:rsidR="00697AEF" w:rsidRPr="00956EDA" w:rsidRDefault="00697AEF" w:rsidP="00697AEF">
      <w:pPr>
        <w:pStyle w:val="Normal1"/>
        <w:ind w:left="400" w:hanging="200"/>
        <w:rPr>
          <w:rFonts w:asciiTheme="minorHAnsi" w:hAnsiTheme="minorHAnsi" w:cstheme="minorHAnsi"/>
          <w:szCs w:val="22"/>
        </w:rPr>
      </w:pPr>
      <w:r w:rsidRPr="00956EDA">
        <w:rPr>
          <w:rFonts w:asciiTheme="minorHAnsi" w:hAnsiTheme="minorHAnsi" w:cstheme="minorHAnsi"/>
          <w:szCs w:val="22"/>
        </w:rPr>
        <w:t xml:space="preserve">·   </w:t>
      </w:r>
      <w:proofErr w:type="gramStart"/>
      <w:r w:rsidRPr="00956EDA">
        <w:rPr>
          <w:rFonts w:asciiTheme="minorHAnsi" w:eastAsia="Times New Roman" w:hAnsiTheme="minorHAnsi" w:cstheme="minorHAnsi"/>
          <w:szCs w:val="22"/>
        </w:rPr>
        <w:t>participation</w:t>
      </w:r>
      <w:proofErr w:type="gramEnd"/>
      <w:r w:rsidRPr="00956EDA">
        <w:rPr>
          <w:rFonts w:asciiTheme="minorHAnsi" w:eastAsia="Times New Roman" w:hAnsiTheme="minorHAnsi" w:cstheme="minorHAnsi"/>
          <w:szCs w:val="22"/>
        </w:rPr>
        <w:t xml:space="preserve"> in professional development and professional organizations,</w:t>
      </w:r>
    </w:p>
    <w:p w14:paraId="7FCE5D21" w14:textId="77777777" w:rsidR="00697AEF" w:rsidRPr="00956EDA" w:rsidRDefault="00697AEF" w:rsidP="00697AEF">
      <w:pPr>
        <w:pStyle w:val="Normal1"/>
        <w:ind w:left="400" w:hanging="200"/>
        <w:rPr>
          <w:rFonts w:asciiTheme="minorHAnsi" w:hAnsiTheme="minorHAnsi" w:cstheme="minorHAnsi"/>
          <w:szCs w:val="22"/>
        </w:rPr>
      </w:pPr>
      <w:r w:rsidRPr="00956EDA">
        <w:rPr>
          <w:rFonts w:asciiTheme="minorHAnsi" w:hAnsiTheme="minorHAnsi" w:cstheme="minorHAnsi"/>
          <w:szCs w:val="22"/>
        </w:rPr>
        <w:t xml:space="preserve">·   </w:t>
      </w:r>
      <w:proofErr w:type="gramStart"/>
      <w:r w:rsidRPr="00956EDA">
        <w:rPr>
          <w:rFonts w:asciiTheme="minorHAnsi" w:eastAsia="Times New Roman" w:hAnsiTheme="minorHAnsi" w:cstheme="minorHAnsi"/>
          <w:szCs w:val="22"/>
        </w:rPr>
        <w:t>pursuit</w:t>
      </w:r>
      <w:proofErr w:type="gramEnd"/>
      <w:r w:rsidRPr="00956EDA">
        <w:rPr>
          <w:rFonts w:asciiTheme="minorHAnsi" w:eastAsia="Times New Roman" w:hAnsiTheme="minorHAnsi" w:cstheme="minorHAnsi"/>
          <w:szCs w:val="22"/>
        </w:rPr>
        <w:t xml:space="preserve"> of broader cultural and linguistic experiences,</w:t>
      </w:r>
    </w:p>
    <w:p w14:paraId="2AD7A623" w14:textId="77777777" w:rsidR="00697AEF" w:rsidRPr="00956EDA" w:rsidRDefault="00697AEF" w:rsidP="00697AEF">
      <w:pPr>
        <w:pStyle w:val="Normal1"/>
        <w:ind w:left="400" w:hanging="200"/>
        <w:rPr>
          <w:rFonts w:asciiTheme="minorHAnsi" w:hAnsiTheme="minorHAnsi" w:cstheme="minorHAnsi"/>
          <w:szCs w:val="22"/>
        </w:rPr>
      </w:pPr>
      <w:r w:rsidRPr="00956EDA">
        <w:rPr>
          <w:rFonts w:asciiTheme="minorHAnsi" w:hAnsiTheme="minorHAnsi" w:cstheme="minorHAnsi"/>
          <w:szCs w:val="22"/>
        </w:rPr>
        <w:t xml:space="preserve">·   </w:t>
      </w:r>
      <w:proofErr w:type="gramStart"/>
      <w:r w:rsidRPr="00956EDA">
        <w:rPr>
          <w:rFonts w:asciiTheme="minorHAnsi" w:eastAsia="Times New Roman" w:hAnsiTheme="minorHAnsi" w:cstheme="minorHAnsi"/>
          <w:szCs w:val="22"/>
        </w:rPr>
        <w:t>collaboration</w:t>
      </w:r>
      <w:proofErr w:type="gramEnd"/>
      <w:r w:rsidRPr="00956EDA">
        <w:rPr>
          <w:rFonts w:asciiTheme="minorHAnsi" w:eastAsia="Times New Roman" w:hAnsiTheme="minorHAnsi" w:cstheme="minorHAnsi"/>
          <w:szCs w:val="22"/>
        </w:rPr>
        <w:t xml:space="preserve"> with others toward mutual and reciprocal goals, and</w:t>
      </w:r>
    </w:p>
    <w:p w14:paraId="2E0D5CF7" w14:textId="77777777" w:rsidR="00697AEF" w:rsidRPr="00956EDA" w:rsidRDefault="00697AEF" w:rsidP="00697AEF">
      <w:pPr>
        <w:pStyle w:val="Normal1"/>
        <w:ind w:left="400" w:hanging="200"/>
        <w:rPr>
          <w:rFonts w:asciiTheme="minorHAnsi" w:hAnsiTheme="minorHAnsi" w:cstheme="minorHAnsi"/>
          <w:szCs w:val="22"/>
        </w:rPr>
      </w:pPr>
      <w:r w:rsidRPr="00956EDA">
        <w:rPr>
          <w:rFonts w:asciiTheme="minorHAnsi" w:hAnsiTheme="minorHAnsi" w:cstheme="minorHAnsi"/>
          <w:szCs w:val="22"/>
        </w:rPr>
        <w:t xml:space="preserve">·   </w:t>
      </w:r>
      <w:proofErr w:type="gramStart"/>
      <w:r w:rsidRPr="00956EDA">
        <w:rPr>
          <w:rFonts w:asciiTheme="minorHAnsi" w:eastAsia="Times New Roman" w:hAnsiTheme="minorHAnsi" w:cstheme="minorHAnsi"/>
          <w:szCs w:val="22"/>
        </w:rPr>
        <w:t>commitment</w:t>
      </w:r>
      <w:proofErr w:type="gramEnd"/>
      <w:r w:rsidRPr="00956EDA">
        <w:rPr>
          <w:rFonts w:asciiTheme="minorHAnsi" w:eastAsia="Times New Roman" w:hAnsiTheme="minorHAnsi" w:cstheme="minorHAnsi"/>
          <w:szCs w:val="22"/>
        </w:rPr>
        <w:t xml:space="preserve"> to equitable access and outcomes for all members of the community.</w:t>
      </w:r>
    </w:p>
    <w:p w14:paraId="51B437D0" w14:textId="77777777" w:rsidR="00697AEF" w:rsidRPr="00956EDA" w:rsidRDefault="00697AEF" w:rsidP="00697AEF">
      <w:pPr>
        <w:pStyle w:val="Normal1"/>
        <w:rPr>
          <w:rFonts w:asciiTheme="minorHAnsi" w:eastAsia="Times New Roman" w:hAnsiTheme="minorHAnsi" w:cstheme="minorHAnsi"/>
          <w:b/>
          <w:szCs w:val="22"/>
        </w:rPr>
      </w:pPr>
    </w:p>
    <w:p w14:paraId="09CDF65D" w14:textId="77777777" w:rsidR="002035A1" w:rsidRPr="00956EDA" w:rsidRDefault="00697AEF" w:rsidP="00760337">
      <w:pPr>
        <w:pStyle w:val="Normal1"/>
        <w:rPr>
          <w:rFonts w:asciiTheme="minorHAnsi" w:eastAsia="Times New Roman" w:hAnsiTheme="minorHAnsi" w:cstheme="minorHAnsi"/>
          <w:szCs w:val="22"/>
        </w:rPr>
      </w:pPr>
      <w:r w:rsidRPr="00956EDA">
        <w:rPr>
          <w:rFonts w:asciiTheme="minorHAnsi" w:eastAsia="Times New Roman" w:hAnsiTheme="minorHAnsi" w:cstheme="minorHAnsi"/>
          <w:b/>
          <w:i/>
          <w:szCs w:val="22"/>
        </w:rPr>
        <w:t>Our Practices</w:t>
      </w:r>
      <w:r w:rsidR="00760337" w:rsidRPr="00956EDA">
        <w:rPr>
          <w:rFonts w:asciiTheme="minorHAnsi" w:eastAsia="Times New Roman" w:hAnsiTheme="minorHAnsi" w:cstheme="minorHAnsi"/>
          <w:b/>
          <w:i/>
          <w:szCs w:val="22"/>
        </w:rPr>
        <w:t xml:space="preserve">. </w:t>
      </w:r>
      <w:r w:rsidRPr="00956EDA">
        <w:rPr>
          <w:rFonts w:asciiTheme="minorHAnsi" w:eastAsia="Times New Roman" w:hAnsiTheme="minorHAnsi" w:cstheme="minorHAnsi"/>
          <w:szCs w:val="22"/>
        </w:rPr>
        <w:t>Toward these ends professional licensure program</w:t>
      </w:r>
      <w:r w:rsidR="00216075" w:rsidRPr="00956EDA">
        <w:rPr>
          <w:rFonts w:asciiTheme="minorHAnsi" w:eastAsia="Times New Roman" w:hAnsiTheme="minorHAnsi" w:cstheme="minorHAnsi"/>
          <w:szCs w:val="22"/>
        </w:rPr>
        <w:t>s</w:t>
      </w:r>
      <w:r w:rsidRPr="00956EDA">
        <w:rPr>
          <w:rFonts w:asciiTheme="minorHAnsi" w:eastAsia="Times New Roman" w:hAnsiTheme="minorHAnsi" w:cstheme="minorHAnsi"/>
          <w:szCs w:val="22"/>
        </w:rPr>
        <w:t xml:space="preserve"> at UNCG requires students to actively demonstrate professional growth by engaging in, for example, some form of school and community</w:t>
      </w:r>
      <w:r w:rsidRPr="00956EDA">
        <w:rPr>
          <w:rFonts w:asciiTheme="minorHAnsi" w:eastAsia="Times New Roman" w:hAnsiTheme="minorHAnsi" w:cstheme="minorHAnsi"/>
          <w:b/>
          <w:szCs w:val="22"/>
        </w:rPr>
        <w:t>-</w:t>
      </w:r>
      <w:r w:rsidRPr="00956EDA">
        <w:rPr>
          <w:rFonts w:asciiTheme="minorHAnsi" w:eastAsia="Times New Roman" w:hAnsiTheme="minorHAnsi" w:cstheme="minorHAnsi"/>
          <w:szCs w:val="22"/>
        </w:rPr>
        <w:t xml:space="preserve">based service learning, </w:t>
      </w:r>
      <w:r w:rsidR="00B57A08" w:rsidRPr="00956EDA">
        <w:rPr>
          <w:rFonts w:asciiTheme="minorHAnsi" w:eastAsia="Times New Roman" w:hAnsiTheme="minorHAnsi" w:cstheme="minorHAnsi"/>
          <w:szCs w:val="22"/>
        </w:rPr>
        <w:t xml:space="preserve">mentoring, </w:t>
      </w:r>
      <w:r w:rsidRPr="00956EDA">
        <w:rPr>
          <w:rFonts w:asciiTheme="minorHAnsi" w:eastAsia="Times New Roman" w:hAnsiTheme="minorHAnsi" w:cstheme="minorHAnsi"/>
          <w:szCs w:val="22"/>
        </w:rPr>
        <w:t xml:space="preserve">tutoring, or volunteering. Programs also promote opportunities for continual professional growth by engaging candidates in high-quality professional development, becoming active in professional organizations, and participating in various kinds of face-to-face and online professional learning communities. Because we believe that reflection and action lead to self-awareness, new understandings of practice, and increased professionalism, all candidates develop and implement at least one leadership project that is driven by analysis of the context and needs of schools and/or organizations, examination of school improvement plans when appropriate, identification of a leadership focus, collaboration with stakeholders including families and community, study related to the leadership focus, and assessment of impact. </w:t>
      </w:r>
    </w:p>
    <w:p w14:paraId="3D71126C" w14:textId="77777777" w:rsidR="002035A1" w:rsidRPr="00956EDA" w:rsidRDefault="002035A1" w:rsidP="00760337">
      <w:pPr>
        <w:pStyle w:val="Normal1"/>
        <w:rPr>
          <w:rFonts w:asciiTheme="minorHAnsi" w:eastAsia="Times New Roman" w:hAnsiTheme="minorHAnsi" w:cstheme="minorHAnsi"/>
          <w:szCs w:val="22"/>
        </w:rPr>
      </w:pPr>
    </w:p>
    <w:p w14:paraId="35DC7B66" w14:textId="77777777" w:rsidR="00760337" w:rsidRPr="00956EDA" w:rsidRDefault="00697AEF" w:rsidP="00760337">
      <w:pPr>
        <w:pStyle w:val="Normal1"/>
        <w:rPr>
          <w:rFonts w:asciiTheme="minorHAnsi" w:hAnsiTheme="minorHAnsi" w:cstheme="minorHAnsi"/>
          <w:szCs w:val="22"/>
        </w:rPr>
      </w:pPr>
      <w:r w:rsidRPr="00956EDA">
        <w:rPr>
          <w:rFonts w:asciiTheme="minorHAnsi" w:eastAsia="Times New Roman" w:hAnsiTheme="minorHAnsi" w:cstheme="minorHAnsi"/>
          <w:szCs w:val="22"/>
        </w:rPr>
        <w:t>Such experiences are enhanced by opportunities for candidates to reflect on their leadership role</w:t>
      </w:r>
      <w:r w:rsidR="00705830" w:rsidRPr="00956EDA">
        <w:rPr>
          <w:rFonts w:asciiTheme="minorHAnsi" w:eastAsia="Times New Roman" w:hAnsiTheme="minorHAnsi" w:cstheme="minorHAnsi"/>
          <w:szCs w:val="22"/>
        </w:rPr>
        <w:t>s</w:t>
      </w:r>
      <w:r w:rsidRPr="00956EDA">
        <w:rPr>
          <w:rFonts w:asciiTheme="minorHAnsi" w:eastAsia="Times New Roman" w:hAnsiTheme="minorHAnsi" w:cstheme="minorHAnsi"/>
          <w:szCs w:val="22"/>
        </w:rPr>
        <w:t xml:space="preserve"> and solidify the value these experiences have for their professional growth. Evidence of professional growth is evaluated as part of our unit-wide assessment</w:t>
      </w:r>
      <w:r w:rsidR="00705830" w:rsidRPr="00956EDA">
        <w:rPr>
          <w:rFonts w:asciiTheme="minorHAnsi" w:eastAsia="Times New Roman" w:hAnsiTheme="minorHAnsi" w:cstheme="minorHAnsi"/>
          <w:szCs w:val="22"/>
        </w:rPr>
        <w:t xml:space="preserve"> system through Evidence </w:t>
      </w:r>
      <w:r w:rsidRPr="00956EDA">
        <w:rPr>
          <w:rFonts w:asciiTheme="minorHAnsi" w:eastAsia="Times New Roman" w:hAnsiTheme="minorHAnsi" w:cstheme="minorHAnsi"/>
          <w:szCs w:val="22"/>
        </w:rPr>
        <w:t>6</w:t>
      </w:r>
      <w:r w:rsidR="00705830" w:rsidRPr="00956EDA">
        <w:rPr>
          <w:rFonts w:asciiTheme="minorHAnsi" w:eastAsia="Times New Roman" w:hAnsiTheme="minorHAnsi" w:cstheme="minorHAnsi"/>
          <w:szCs w:val="22"/>
        </w:rPr>
        <w:t xml:space="preserve"> of the Initial Licensure Teac</w:t>
      </w:r>
      <w:r w:rsidR="00602AD7" w:rsidRPr="00956EDA">
        <w:rPr>
          <w:rFonts w:asciiTheme="minorHAnsi" w:eastAsia="Times New Roman" w:hAnsiTheme="minorHAnsi" w:cstheme="minorHAnsi"/>
          <w:szCs w:val="22"/>
        </w:rPr>
        <w:t xml:space="preserve">hing Portfolio, </w:t>
      </w:r>
      <w:r w:rsidR="00705830" w:rsidRPr="00956EDA">
        <w:rPr>
          <w:rFonts w:asciiTheme="minorHAnsi" w:eastAsia="Times New Roman" w:hAnsiTheme="minorHAnsi" w:cstheme="minorHAnsi"/>
          <w:szCs w:val="22"/>
        </w:rPr>
        <w:t>Evidence 2 of the Advanced Masters’ Teaching Portfolio</w:t>
      </w:r>
      <w:r w:rsidR="00000DB6" w:rsidRPr="00956EDA">
        <w:rPr>
          <w:rFonts w:asciiTheme="minorHAnsi" w:eastAsia="Times New Roman" w:hAnsiTheme="minorHAnsi" w:cstheme="minorHAnsi"/>
          <w:szCs w:val="22"/>
        </w:rPr>
        <w:t>,</w:t>
      </w:r>
      <w:r w:rsidR="00602AD7" w:rsidRPr="00956EDA">
        <w:rPr>
          <w:rFonts w:asciiTheme="minorHAnsi" w:eastAsia="Times New Roman" w:hAnsiTheme="minorHAnsi" w:cstheme="minorHAnsi"/>
          <w:szCs w:val="22"/>
        </w:rPr>
        <w:t xml:space="preserve"> and field-based capstone performances in </w:t>
      </w:r>
      <w:r w:rsidR="002035A1" w:rsidRPr="00956EDA">
        <w:rPr>
          <w:rFonts w:asciiTheme="minorHAnsi" w:eastAsia="Times New Roman" w:hAnsiTheme="minorHAnsi" w:cstheme="minorHAnsi"/>
          <w:szCs w:val="22"/>
        </w:rPr>
        <w:t xml:space="preserve">master’s level </w:t>
      </w:r>
      <w:r w:rsidR="00602AD7" w:rsidRPr="00956EDA">
        <w:rPr>
          <w:rFonts w:asciiTheme="minorHAnsi" w:eastAsia="Times New Roman" w:hAnsiTheme="minorHAnsi" w:cstheme="minorHAnsi"/>
          <w:szCs w:val="22"/>
        </w:rPr>
        <w:t>non-teaching programs.</w:t>
      </w:r>
      <w:r w:rsidRPr="00956EDA">
        <w:rPr>
          <w:rFonts w:asciiTheme="minorHAnsi" w:eastAsia="Times New Roman" w:hAnsiTheme="minorHAnsi" w:cstheme="minorHAnsi"/>
          <w:szCs w:val="22"/>
        </w:rPr>
        <w:t xml:space="preserve"> </w:t>
      </w:r>
      <w:r w:rsidR="00705830" w:rsidRPr="00956EDA">
        <w:rPr>
          <w:rFonts w:asciiTheme="minorHAnsi" w:eastAsia="Times New Roman" w:hAnsiTheme="minorHAnsi" w:cstheme="minorHAnsi"/>
          <w:szCs w:val="22"/>
        </w:rPr>
        <w:t>Professional growth is also evaluated in our unit-wide Candidates Dispositions Assessment Process rubric, used at a minimum of three times throughout the program for initial licensure teaching candidates</w:t>
      </w:r>
      <w:r w:rsidR="002035A1" w:rsidRPr="00956EDA">
        <w:rPr>
          <w:rFonts w:asciiTheme="minorHAnsi" w:eastAsia="Times New Roman" w:hAnsiTheme="minorHAnsi" w:cstheme="minorHAnsi"/>
          <w:szCs w:val="22"/>
        </w:rPr>
        <w:t xml:space="preserve">, and through </w:t>
      </w:r>
      <w:r w:rsidR="00000DB6" w:rsidRPr="00956EDA">
        <w:rPr>
          <w:rFonts w:asciiTheme="minorHAnsi" w:eastAsia="Times New Roman" w:hAnsiTheme="minorHAnsi" w:cstheme="minorHAnsi"/>
          <w:szCs w:val="22"/>
        </w:rPr>
        <w:t xml:space="preserve">disposition assessments and </w:t>
      </w:r>
      <w:r w:rsidR="002035A1" w:rsidRPr="00956EDA">
        <w:rPr>
          <w:rFonts w:asciiTheme="minorHAnsi" w:eastAsia="Times New Roman" w:hAnsiTheme="minorHAnsi" w:cstheme="minorHAnsi"/>
          <w:szCs w:val="22"/>
        </w:rPr>
        <w:t xml:space="preserve">professional growth plans in advanced </w:t>
      </w:r>
      <w:r w:rsidR="00705830" w:rsidRPr="00956EDA">
        <w:rPr>
          <w:rFonts w:asciiTheme="minorHAnsi" w:eastAsia="Times New Roman" w:hAnsiTheme="minorHAnsi" w:cstheme="minorHAnsi"/>
          <w:szCs w:val="22"/>
        </w:rPr>
        <w:t xml:space="preserve">licensure </w:t>
      </w:r>
      <w:r w:rsidR="002035A1" w:rsidRPr="00956EDA">
        <w:rPr>
          <w:rFonts w:asciiTheme="minorHAnsi" w:eastAsia="Times New Roman" w:hAnsiTheme="minorHAnsi" w:cstheme="minorHAnsi"/>
          <w:szCs w:val="22"/>
        </w:rPr>
        <w:t>programs.</w:t>
      </w:r>
    </w:p>
    <w:p w14:paraId="6676BA70" w14:textId="77777777" w:rsidR="00000DB6" w:rsidRPr="00956EDA" w:rsidRDefault="00000DB6">
      <w:pPr>
        <w:rPr>
          <w:rFonts w:cstheme="minorHAnsi"/>
        </w:rPr>
      </w:pPr>
      <w:r w:rsidRPr="00956EDA">
        <w:rPr>
          <w:rFonts w:cstheme="minorHAnsi"/>
        </w:rPr>
        <w:br w:type="page"/>
      </w:r>
    </w:p>
    <w:p w14:paraId="73DB5857" w14:textId="77777777" w:rsidR="004D6179" w:rsidRPr="00956EDA" w:rsidRDefault="00643A34" w:rsidP="00643A34">
      <w:pPr>
        <w:ind w:left="540" w:hanging="540"/>
        <w:jc w:val="center"/>
        <w:rPr>
          <w:rFonts w:eastAsiaTheme="minorEastAsia" w:cstheme="minorHAnsi"/>
        </w:rPr>
      </w:pPr>
      <w:r w:rsidRPr="00956EDA">
        <w:rPr>
          <w:rFonts w:cstheme="minorHAnsi"/>
        </w:rPr>
        <w:lastRenderedPageBreak/>
        <w:t>References</w:t>
      </w:r>
    </w:p>
    <w:p w14:paraId="40D8F2E6" w14:textId="77777777" w:rsidR="00B57A08" w:rsidRPr="00956EDA" w:rsidRDefault="00B57A08" w:rsidP="00B57A08">
      <w:pPr>
        <w:autoSpaceDE w:val="0"/>
        <w:autoSpaceDN w:val="0"/>
        <w:adjustRightInd w:val="0"/>
        <w:spacing w:after="0" w:line="240" w:lineRule="auto"/>
        <w:ind w:left="720" w:hanging="720"/>
        <w:rPr>
          <w:rFonts w:cstheme="minorHAnsi"/>
          <w:i/>
          <w:iCs/>
          <w:sz w:val="24"/>
          <w:szCs w:val="24"/>
        </w:rPr>
      </w:pPr>
      <w:proofErr w:type="gramStart"/>
      <w:r w:rsidRPr="00956EDA">
        <w:rPr>
          <w:rFonts w:cstheme="minorHAnsi"/>
        </w:rPr>
        <w:t>American Association of School Librarians (2009).</w:t>
      </w:r>
      <w:proofErr w:type="gramEnd"/>
      <w:r w:rsidRPr="00956EDA">
        <w:rPr>
          <w:rFonts w:cstheme="minorHAnsi"/>
        </w:rPr>
        <w:t xml:space="preserve"> </w:t>
      </w:r>
      <w:hyperlink r:id="rId13" w:history="1">
        <w:r w:rsidRPr="00956EDA">
          <w:rPr>
            <w:rStyle w:val="HTMLCite"/>
            <w:rFonts w:cstheme="minorHAnsi"/>
            <w:u w:val="single"/>
          </w:rPr>
          <w:t>Empowering Learners: Guidelines for School Library Media Programs</w:t>
        </w:r>
      </w:hyperlink>
      <w:r w:rsidRPr="00956EDA">
        <w:rPr>
          <w:rFonts w:cstheme="minorHAnsi"/>
        </w:rPr>
        <w:t>. Chicago: American Association of School Librarians, ALA.</w:t>
      </w:r>
    </w:p>
    <w:p w14:paraId="5DEB2D9B" w14:textId="77777777" w:rsidR="004D6179" w:rsidRPr="00956EDA" w:rsidRDefault="004D6179" w:rsidP="00643A34">
      <w:pPr>
        <w:spacing w:after="0"/>
        <w:ind w:left="720" w:hanging="720"/>
        <w:rPr>
          <w:rFonts w:cstheme="minorHAnsi"/>
        </w:rPr>
      </w:pPr>
      <w:r w:rsidRPr="00956EDA">
        <w:rPr>
          <w:rFonts w:cstheme="minorHAnsi"/>
        </w:rPr>
        <w:t>Au, W. (2007). High-stakes and curricular control: A qualitative metasynthesis. Educational Researcher, 258-267.</w:t>
      </w:r>
    </w:p>
    <w:p w14:paraId="22417B29" w14:textId="77777777" w:rsidR="00AA71A7" w:rsidRPr="00956EDA" w:rsidRDefault="00AA71A7" w:rsidP="00AA71A7">
      <w:pPr>
        <w:spacing w:after="0" w:line="240" w:lineRule="auto"/>
        <w:ind w:left="720" w:hanging="720"/>
        <w:rPr>
          <w:rFonts w:eastAsia="Times New Roman" w:cstheme="minorHAnsi"/>
          <w:sz w:val="24"/>
          <w:szCs w:val="24"/>
        </w:rPr>
      </w:pPr>
      <w:proofErr w:type="spellStart"/>
      <w:r w:rsidRPr="00956EDA">
        <w:rPr>
          <w:rFonts w:eastAsia="Times New Roman" w:cstheme="minorHAnsi"/>
          <w:sz w:val="24"/>
          <w:szCs w:val="24"/>
        </w:rPr>
        <w:t>Bambrick-Santoyo</w:t>
      </w:r>
      <w:proofErr w:type="spellEnd"/>
      <w:r w:rsidRPr="00956EDA">
        <w:rPr>
          <w:rFonts w:eastAsia="Times New Roman" w:cstheme="minorHAnsi"/>
          <w:sz w:val="24"/>
          <w:szCs w:val="24"/>
        </w:rPr>
        <w:t>, P. (2010). </w:t>
      </w:r>
      <w:r w:rsidRPr="00956EDA">
        <w:rPr>
          <w:rFonts w:eastAsia="Times New Roman" w:cstheme="minorHAnsi"/>
          <w:i/>
          <w:iCs/>
          <w:sz w:val="24"/>
          <w:szCs w:val="24"/>
        </w:rPr>
        <w:t>Driven by data:  A practical guide to improve instruction. </w:t>
      </w:r>
      <w:r w:rsidRPr="00956EDA">
        <w:rPr>
          <w:rFonts w:eastAsia="Times New Roman" w:cstheme="minorHAnsi"/>
          <w:sz w:val="24"/>
          <w:szCs w:val="24"/>
        </w:rPr>
        <w:t>San Francisco, CA:  </w:t>
      </w:r>
      <w:proofErr w:type="spellStart"/>
      <w:r w:rsidRPr="00956EDA">
        <w:rPr>
          <w:rFonts w:eastAsia="Times New Roman" w:cstheme="minorHAnsi"/>
          <w:sz w:val="24"/>
          <w:szCs w:val="24"/>
        </w:rPr>
        <w:t>Jossey</w:t>
      </w:r>
      <w:proofErr w:type="spellEnd"/>
      <w:r w:rsidRPr="00956EDA">
        <w:rPr>
          <w:rFonts w:eastAsia="Times New Roman" w:cstheme="minorHAnsi"/>
          <w:sz w:val="24"/>
          <w:szCs w:val="24"/>
        </w:rPr>
        <w:t>-Bass.</w:t>
      </w:r>
    </w:p>
    <w:p w14:paraId="451EA44B" w14:textId="77777777" w:rsidR="00602AD7" w:rsidRPr="00956EDA" w:rsidRDefault="00602AD7" w:rsidP="00D80D8F">
      <w:pPr>
        <w:spacing w:after="0"/>
        <w:ind w:left="720" w:hanging="720"/>
        <w:rPr>
          <w:rFonts w:cstheme="minorHAnsi"/>
        </w:rPr>
      </w:pPr>
      <w:r w:rsidRPr="00956EDA">
        <w:rPr>
          <w:rFonts w:cstheme="minorHAnsi"/>
        </w:rPr>
        <w:t xml:space="preserve">Berliner, D. C. (1986). </w:t>
      </w:r>
      <w:proofErr w:type="gramStart"/>
      <w:r w:rsidRPr="00956EDA">
        <w:rPr>
          <w:rFonts w:cstheme="minorHAnsi"/>
        </w:rPr>
        <w:t>In pursuit of the expert pedagogue.</w:t>
      </w:r>
      <w:proofErr w:type="gramEnd"/>
      <w:r w:rsidRPr="00956EDA">
        <w:rPr>
          <w:rFonts w:cstheme="minorHAnsi"/>
        </w:rPr>
        <w:t xml:space="preserve"> </w:t>
      </w:r>
      <w:r w:rsidRPr="00956EDA">
        <w:rPr>
          <w:rFonts w:cstheme="minorHAnsi"/>
          <w:i/>
        </w:rPr>
        <w:t>Educational Researcher, 15</w:t>
      </w:r>
      <w:r w:rsidRPr="00956EDA">
        <w:rPr>
          <w:rFonts w:cstheme="minorHAnsi"/>
        </w:rPr>
        <w:t>(5), 5-13.</w:t>
      </w:r>
    </w:p>
    <w:p w14:paraId="4391A744" w14:textId="77777777" w:rsidR="004D6179" w:rsidRPr="00956EDA" w:rsidRDefault="004D6179" w:rsidP="00643A34">
      <w:pPr>
        <w:spacing w:after="0"/>
        <w:ind w:left="720" w:hanging="720"/>
        <w:rPr>
          <w:rFonts w:cstheme="minorHAnsi"/>
        </w:rPr>
      </w:pPr>
      <w:r w:rsidRPr="00956EDA">
        <w:rPr>
          <w:rFonts w:cstheme="minorHAnsi"/>
        </w:rPr>
        <w:t>Black, P. &amp; Wiliam, D. (1998). Inside the Black Box: Raising standards through classroom assessment, Phi Delta Kappan, 139-148.</w:t>
      </w:r>
    </w:p>
    <w:p w14:paraId="45CAA342" w14:textId="77777777" w:rsidR="00D67E0F" w:rsidRPr="00956EDA" w:rsidRDefault="00D67E0F" w:rsidP="00D67E0F">
      <w:pPr>
        <w:spacing w:after="0" w:line="240" w:lineRule="auto"/>
        <w:ind w:left="720" w:hanging="720"/>
        <w:rPr>
          <w:rFonts w:eastAsia="Times New Roman" w:cstheme="minorHAnsi"/>
        </w:rPr>
      </w:pPr>
      <w:proofErr w:type="spellStart"/>
      <w:r w:rsidRPr="00956EDA">
        <w:rPr>
          <w:rFonts w:eastAsia="Times New Roman" w:cstheme="minorHAnsi"/>
        </w:rPr>
        <w:t>Blankenstein</w:t>
      </w:r>
      <w:proofErr w:type="spellEnd"/>
      <w:r w:rsidRPr="00956EDA">
        <w:rPr>
          <w:rFonts w:eastAsia="Times New Roman" w:cstheme="minorHAnsi"/>
        </w:rPr>
        <w:t>, A. M., Houston, P. D., &amp; Cole, R. W. (2010). </w:t>
      </w:r>
      <w:r w:rsidRPr="00956EDA">
        <w:rPr>
          <w:rFonts w:eastAsia="Times New Roman" w:cstheme="minorHAnsi"/>
          <w:i/>
          <w:iCs/>
        </w:rPr>
        <w:t xml:space="preserve">Data enhanced </w:t>
      </w:r>
      <w:proofErr w:type="spellStart"/>
      <w:r w:rsidRPr="00956EDA">
        <w:rPr>
          <w:rFonts w:eastAsia="Times New Roman" w:cstheme="minorHAnsi"/>
          <w:i/>
          <w:iCs/>
        </w:rPr>
        <w:t>leadership.</w:t>
      </w:r>
      <w:r w:rsidRPr="00956EDA">
        <w:rPr>
          <w:rFonts w:eastAsia="Times New Roman" w:cstheme="minorHAnsi"/>
        </w:rPr>
        <w:t>Thousand</w:t>
      </w:r>
      <w:proofErr w:type="spellEnd"/>
      <w:r w:rsidRPr="00956EDA">
        <w:rPr>
          <w:rFonts w:eastAsia="Times New Roman" w:cstheme="minorHAnsi"/>
        </w:rPr>
        <w:t xml:space="preserve"> Oaks, CA:  Corwin Press, Hope Foundation, &amp; </w:t>
      </w:r>
      <w:r w:rsidR="00D03E5B" w:rsidRPr="00956EDA">
        <w:rPr>
          <w:rFonts w:eastAsia="Times New Roman" w:cstheme="minorHAnsi"/>
        </w:rPr>
        <w:t>American Association of School Administrators</w:t>
      </w:r>
      <w:r w:rsidRPr="00956EDA">
        <w:rPr>
          <w:rFonts w:eastAsia="Times New Roman" w:cstheme="minorHAnsi"/>
        </w:rPr>
        <w:t>.</w:t>
      </w:r>
    </w:p>
    <w:p w14:paraId="09E606BA" w14:textId="77777777" w:rsidR="00EE4E60" w:rsidRPr="00956EDA" w:rsidRDefault="00956AB3" w:rsidP="00EE4E60">
      <w:pPr>
        <w:pStyle w:val="Normal1"/>
        <w:ind w:left="720" w:hanging="720"/>
        <w:rPr>
          <w:rFonts w:asciiTheme="minorHAnsi" w:hAnsiTheme="minorHAnsi" w:cstheme="minorHAnsi"/>
          <w:color w:val="auto"/>
          <w:szCs w:val="22"/>
        </w:rPr>
      </w:pPr>
      <w:r w:rsidRPr="00956EDA">
        <w:rPr>
          <w:rFonts w:asciiTheme="minorHAnsi" w:hAnsiTheme="minorHAnsi" w:cstheme="minorHAnsi"/>
          <w:color w:val="auto"/>
          <w:szCs w:val="22"/>
        </w:rPr>
        <w:t xml:space="preserve">Bransford, </w:t>
      </w:r>
      <w:r w:rsidR="00705748" w:rsidRPr="00956EDA">
        <w:rPr>
          <w:rFonts w:asciiTheme="minorHAnsi" w:hAnsiTheme="minorHAnsi" w:cstheme="minorHAnsi"/>
          <w:color w:val="auto"/>
          <w:szCs w:val="22"/>
        </w:rPr>
        <w:t>J</w:t>
      </w:r>
      <w:r w:rsidR="00EE4E60" w:rsidRPr="00956EDA">
        <w:rPr>
          <w:rFonts w:asciiTheme="minorHAnsi" w:hAnsiTheme="minorHAnsi" w:cstheme="minorHAnsi"/>
          <w:color w:val="auto"/>
          <w:szCs w:val="22"/>
        </w:rPr>
        <w:t>., Derry, S</w:t>
      </w:r>
      <w:r w:rsidR="0043786D" w:rsidRPr="00956EDA">
        <w:rPr>
          <w:rFonts w:asciiTheme="minorHAnsi" w:hAnsiTheme="minorHAnsi" w:cstheme="minorHAnsi"/>
          <w:color w:val="auto"/>
          <w:szCs w:val="22"/>
        </w:rPr>
        <w:t xml:space="preserve">., Berliner, D., &amp; Hammerness, </w:t>
      </w:r>
      <w:r w:rsidR="00EE4E60" w:rsidRPr="00956EDA">
        <w:rPr>
          <w:rFonts w:asciiTheme="minorHAnsi" w:hAnsiTheme="minorHAnsi" w:cstheme="minorHAnsi"/>
          <w:color w:val="auto"/>
          <w:szCs w:val="22"/>
        </w:rPr>
        <w:t xml:space="preserve">K., with Beckett, K. L. (2005). </w:t>
      </w:r>
      <w:proofErr w:type="gramStart"/>
      <w:r w:rsidR="00A1236B" w:rsidRPr="00956EDA">
        <w:rPr>
          <w:rFonts w:asciiTheme="minorHAnsi" w:hAnsiTheme="minorHAnsi" w:cstheme="minorHAnsi"/>
          <w:color w:val="auto"/>
          <w:szCs w:val="22"/>
        </w:rPr>
        <w:t>Theories of learning and their roles in teaching.</w:t>
      </w:r>
      <w:proofErr w:type="gramEnd"/>
      <w:r w:rsidR="00A1236B" w:rsidRPr="00956EDA">
        <w:rPr>
          <w:rFonts w:asciiTheme="minorHAnsi" w:hAnsiTheme="minorHAnsi" w:cstheme="minorHAnsi"/>
          <w:color w:val="auto"/>
          <w:szCs w:val="22"/>
        </w:rPr>
        <w:t xml:space="preserve"> </w:t>
      </w:r>
      <w:r w:rsidR="00EE4E60" w:rsidRPr="00956EDA">
        <w:rPr>
          <w:rFonts w:asciiTheme="minorHAnsi" w:hAnsiTheme="minorHAnsi" w:cstheme="minorHAnsi"/>
          <w:color w:val="auto"/>
          <w:szCs w:val="22"/>
        </w:rPr>
        <w:t xml:space="preserve">In </w:t>
      </w:r>
      <w:r w:rsidR="00EE4E60" w:rsidRPr="00956EDA">
        <w:rPr>
          <w:rFonts w:asciiTheme="minorHAnsi" w:eastAsia="Times New Roman" w:hAnsiTheme="minorHAnsi" w:cstheme="minorHAnsi"/>
          <w:color w:val="auto"/>
          <w:szCs w:val="22"/>
        </w:rPr>
        <w:t xml:space="preserve">Darling-Hammond, </w:t>
      </w:r>
      <w:r w:rsidR="00471D67" w:rsidRPr="00956EDA">
        <w:rPr>
          <w:rFonts w:asciiTheme="minorHAnsi" w:eastAsia="Times New Roman" w:hAnsiTheme="minorHAnsi" w:cstheme="minorHAnsi"/>
          <w:color w:val="auto"/>
          <w:szCs w:val="22"/>
        </w:rPr>
        <w:t xml:space="preserve">L., &amp; Bransford, J. (Eds.), </w:t>
      </w:r>
      <w:r w:rsidR="00EE4E60" w:rsidRPr="00956EDA">
        <w:rPr>
          <w:rFonts w:asciiTheme="minorHAnsi" w:eastAsia="Times New Roman" w:hAnsiTheme="minorHAnsi" w:cstheme="minorHAnsi"/>
          <w:i/>
          <w:color w:val="auto"/>
          <w:szCs w:val="22"/>
        </w:rPr>
        <w:t>Preparing teachers for a changing world: What teachers should learn and be able to do</w:t>
      </w:r>
      <w:r w:rsidR="00471D67" w:rsidRPr="00956EDA">
        <w:rPr>
          <w:rFonts w:asciiTheme="minorHAnsi" w:eastAsia="Times New Roman" w:hAnsiTheme="minorHAnsi" w:cstheme="minorHAnsi"/>
          <w:color w:val="auto"/>
          <w:szCs w:val="22"/>
        </w:rPr>
        <w:t xml:space="preserve"> (pp. 40-87).</w:t>
      </w:r>
      <w:r w:rsidR="00EE4E60" w:rsidRPr="00956EDA">
        <w:rPr>
          <w:rFonts w:asciiTheme="minorHAnsi" w:eastAsia="Times New Roman" w:hAnsiTheme="minorHAnsi" w:cstheme="minorHAnsi"/>
          <w:color w:val="auto"/>
          <w:szCs w:val="22"/>
        </w:rPr>
        <w:t xml:space="preserve"> San F</w:t>
      </w:r>
      <w:r w:rsidR="00471D67" w:rsidRPr="00956EDA">
        <w:rPr>
          <w:rFonts w:asciiTheme="minorHAnsi" w:eastAsia="Times New Roman" w:hAnsiTheme="minorHAnsi" w:cstheme="minorHAnsi"/>
          <w:color w:val="auto"/>
          <w:szCs w:val="22"/>
        </w:rPr>
        <w:t>rancisco: John Wiley.</w:t>
      </w:r>
    </w:p>
    <w:p w14:paraId="589CC8B0" w14:textId="77777777" w:rsidR="00956AB3" w:rsidRPr="00956EDA" w:rsidRDefault="00956AB3" w:rsidP="00643A34">
      <w:pPr>
        <w:widowControl w:val="0"/>
        <w:autoSpaceDE w:val="0"/>
        <w:autoSpaceDN w:val="0"/>
        <w:adjustRightInd w:val="0"/>
        <w:spacing w:after="0"/>
        <w:ind w:left="720" w:hanging="720"/>
        <w:rPr>
          <w:rFonts w:cstheme="minorHAnsi"/>
        </w:rPr>
      </w:pPr>
      <w:r w:rsidRPr="00956EDA">
        <w:rPr>
          <w:rFonts w:cstheme="minorHAnsi"/>
        </w:rPr>
        <w:t xml:space="preserve">Bruner, J. S. (1960/77). </w:t>
      </w:r>
      <w:proofErr w:type="gramStart"/>
      <w:r w:rsidRPr="00956EDA">
        <w:rPr>
          <w:rFonts w:cstheme="minorHAnsi"/>
          <w:i/>
        </w:rPr>
        <w:t>The process of education.</w:t>
      </w:r>
      <w:proofErr w:type="gramEnd"/>
      <w:r w:rsidRPr="00956EDA">
        <w:rPr>
          <w:rFonts w:cstheme="minorHAnsi"/>
          <w:i/>
        </w:rPr>
        <w:t xml:space="preserve"> </w:t>
      </w:r>
      <w:r w:rsidRPr="00956EDA">
        <w:rPr>
          <w:rFonts w:cstheme="minorHAnsi"/>
        </w:rPr>
        <w:t xml:space="preserve"> Cambridge, MA: Harvard University Press.</w:t>
      </w:r>
    </w:p>
    <w:p w14:paraId="11CBEDD8" w14:textId="77777777" w:rsidR="004D6179" w:rsidRPr="00956EDA" w:rsidRDefault="004D6179" w:rsidP="00643A34">
      <w:pPr>
        <w:widowControl w:val="0"/>
        <w:autoSpaceDE w:val="0"/>
        <w:autoSpaceDN w:val="0"/>
        <w:adjustRightInd w:val="0"/>
        <w:spacing w:after="0"/>
        <w:ind w:left="720" w:hanging="720"/>
        <w:rPr>
          <w:rFonts w:eastAsiaTheme="minorEastAsia" w:cstheme="minorHAnsi"/>
        </w:rPr>
      </w:pPr>
      <w:proofErr w:type="gramStart"/>
      <w:r w:rsidRPr="00956EDA">
        <w:rPr>
          <w:rFonts w:cstheme="minorHAnsi"/>
        </w:rPr>
        <w:t>Brown-Jeffy, &amp; Cooper, J. E. (2011).</w:t>
      </w:r>
      <w:proofErr w:type="gramEnd"/>
      <w:r w:rsidRPr="00956EDA">
        <w:rPr>
          <w:rFonts w:cstheme="minorHAnsi"/>
        </w:rPr>
        <w:t xml:space="preserve"> </w:t>
      </w:r>
      <w:r w:rsidRPr="00956EDA">
        <w:rPr>
          <w:rFonts w:eastAsiaTheme="minorEastAsia" w:cstheme="minorHAnsi"/>
        </w:rPr>
        <w:t xml:space="preserve">Toward a conceptual framework of culturally relevant pedagogy: An overview of the conceptual and theoretical literature. </w:t>
      </w:r>
      <w:r w:rsidRPr="00956EDA">
        <w:rPr>
          <w:rFonts w:eastAsiaTheme="minorEastAsia" w:cstheme="minorHAnsi"/>
          <w:i/>
        </w:rPr>
        <w:t>Teacher Education Quarterly, 38</w:t>
      </w:r>
      <w:r w:rsidRPr="00956EDA">
        <w:rPr>
          <w:rFonts w:eastAsiaTheme="minorEastAsia" w:cstheme="minorHAnsi"/>
        </w:rPr>
        <w:t>(1), 65-84.</w:t>
      </w:r>
    </w:p>
    <w:p w14:paraId="57702C24" w14:textId="77777777" w:rsidR="004D6179" w:rsidRPr="00956EDA" w:rsidRDefault="004D6179" w:rsidP="00643A34">
      <w:pPr>
        <w:spacing w:after="0"/>
        <w:rPr>
          <w:rFonts w:cstheme="minorHAnsi"/>
        </w:rPr>
      </w:pPr>
      <w:r w:rsidRPr="00956EDA">
        <w:rPr>
          <w:rFonts w:cstheme="minorHAnsi"/>
        </w:rPr>
        <w:t xml:space="preserve">Chappuis, S., &amp; Stiggins, R. J. (2002). Classroom assessment for learning, Educational Leadership, </w:t>
      </w:r>
    </w:p>
    <w:p w14:paraId="055A5585" w14:textId="77777777" w:rsidR="004D6179" w:rsidRPr="00956EDA" w:rsidRDefault="004D6179" w:rsidP="00643A34">
      <w:pPr>
        <w:pStyle w:val="Normal1"/>
        <w:ind w:left="720" w:hanging="720"/>
        <w:rPr>
          <w:rFonts w:asciiTheme="minorHAnsi" w:hAnsiTheme="minorHAnsi" w:cstheme="minorHAnsi"/>
          <w:color w:val="auto"/>
          <w:szCs w:val="22"/>
        </w:rPr>
      </w:pPr>
      <w:proofErr w:type="gramStart"/>
      <w:r w:rsidRPr="00956EDA">
        <w:rPr>
          <w:rFonts w:asciiTheme="minorHAnsi" w:eastAsia="Times New Roman" w:hAnsiTheme="minorHAnsi" w:cstheme="minorHAnsi"/>
          <w:color w:val="auto"/>
          <w:szCs w:val="22"/>
        </w:rPr>
        <w:t>Cochran-Smith, M., Feiman-Nemser, S., McIntyre, D. J., &amp; Demers, K. E. (Eds.) (2008).</w:t>
      </w:r>
      <w:proofErr w:type="gramEnd"/>
      <w:r w:rsidRPr="00956EDA">
        <w:rPr>
          <w:rFonts w:asciiTheme="minorHAnsi" w:eastAsia="Times New Roman" w:hAnsiTheme="minorHAnsi" w:cstheme="minorHAnsi"/>
          <w:color w:val="auto"/>
          <w:szCs w:val="22"/>
        </w:rPr>
        <w:t xml:space="preserve"> </w:t>
      </w:r>
      <w:proofErr w:type="gramStart"/>
      <w:r w:rsidRPr="00956EDA">
        <w:rPr>
          <w:rFonts w:asciiTheme="minorHAnsi" w:eastAsia="Times New Roman" w:hAnsiTheme="minorHAnsi" w:cstheme="minorHAnsi"/>
          <w:i/>
          <w:color w:val="auto"/>
          <w:szCs w:val="22"/>
        </w:rPr>
        <w:t>Handbook of research on teacher education</w:t>
      </w:r>
      <w:r w:rsidRPr="00956EDA">
        <w:rPr>
          <w:rFonts w:asciiTheme="minorHAnsi" w:eastAsia="Times New Roman" w:hAnsiTheme="minorHAnsi" w:cstheme="minorHAnsi"/>
          <w:color w:val="auto"/>
          <w:szCs w:val="22"/>
        </w:rPr>
        <w:t xml:space="preserve"> (3rd edition).</w:t>
      </w:r>
      <w:proofErr w:type="gramEnd"/>
      <w:r w:rsidRPr="00956EDA">
        <w:rPr>
          <w:rFonts w:asciiTheme="minorHAnsi" w:eastAsia="Times New Roman" w:hAnsiTheme="minorHAnsi" w:cstheme="minorHAnsi"/>
          <w:color w:val="auto"/>
          <w:szCs w:val="22"/>
        </w:rPr>
        <w:t xml:space="preserve"> New York: </w:t>
      </w:r>
      <w:proofErr w:type="spellStart"/>
      <w:r w:rsidRPr="00956EDA">
        <w:rPr>
          <w:rFonts w:asciiTheme="minorHAnsi" w:eastAsia="Times New Roman" w:hAnsiTheme="minorHAnsi" w:cstheme="minorHAnsi"/>
          <w:color w:val="auto"/>
          <w:szCs w:val="22"/>
        </w:rPr>
        <w:t>Routledge</w:t>
      </w:r>
      <w:proofErr w:type="spellEnd"/>
      <w:r w:rsidRPr="00956EDA">
        <w:rPr>
          <w:rFonts w:asciiTheme="minorHAnsi" w:eastAsia="Times New Roman" w:hAnsiTheme="minorHAnsi" w:cstheme="minorHAnsi"/>
          <w:color w:val="auto"/>
          <w:szCs w:val="22"/>
        </w:rPr>
        <w:t>.</w:t>
      </w:r>
    </w:p>
    <w:p w14:paraId="758F8D21" w14:textId="77777777" w:rsidR="00DA707F" w:rsidRPr="00956EDA" w:rsidRDefault="00DA707F" w:rsidP="00D80D8F">
      <w:pPr>
        <w:spacing w:after="0" w:line="240" w:lineRule="auto"/>
        <w:ind w:left="720" w:hanging="720"/>
        <w:rPr>
          <w:rFonts w:cstheme="minorHAnsi"/>
        </w:rPr>
      </w:pPr>
      <w:r w:rsidRPr="00956EDA">
        <w:rPr>
          <w:rFonts w:cstheme="minorHAnsi"/>
        </w:rPr>
        <w:t xml:space="preserve">Cooper, C. W.  (2009).  Performing cultural work in demographically changing schools:  Implications for expanding transformative leadership frameworks.  </w:t>
      </w:r>
      <w:r w:rsidRPr="00956EDA">
        <w:rPr>
          <w:rFonts w:cstheme="minorHAnsi"/>
          <w:i/>
        </w:rPr>
        <w:t>Educational Administration Quarterly, 45</w:t>
      </w:r>
      <w:r w:rsidRPr="00956EDA">
        <w:rPr>
          <w:rFonts w:cstheme="minorHAnsi"/>
        </w:rPr>
        <w:t xml:space="preserve">(5), 694-724. </w:t>
      </w:r>
    </w:p>
    <w:p w14:paraId="1F262593" w14:textId="77777777" w:rsidR="00C2771C" w:rsidRPr="00956EDA" w:rsidRDefault="00C2771C" w:rsidP="00D80D8F">
      <w:pPr>
        <w:spacing w:after="0" w:line="240" w:lineRule="auto"/>
        <w:ind w:left="720" w:hanging="720"/>
        <w:rPr>
          <w:rFonts w:cstheme="minorHAnsi"/>
        </w:rPr>
      </w:pPr>
      <w:proofErr w:type="gramStart"/>
      <w:r w:rsidRPr="00956EDA">
        <w:rPr>
          <w:rFonts w:cstheme="minorHAnsi"/>
        </w:rPr>
        <w:t>Council of Chief State School Officers (2008).</w:t>
      </w:r>
      <w:proofErr w:type="gramEnd"/>
      <w:r w:rsidRPr="00956EDA">
        <w:rPr>
          <w:rFonts w:cstheme="minorHAnsi"/>
        </w:rPr>
        <w:t xml:space="preserve"> </w:t>
      </w:r>
      <w:proofErr w:type="gramStart"/>
      <w:r w:rsidRPr="00956EDA">
        <w:rPr>
          <w:rFonts w:cstheme="minorHAnsi"/>
        </w:rPr>
        <w:t>Educational Leadership Standards Policy.</w:t>
      </w:r>
      <w:proofErr w:type="gramEnd"/>
      <w:r w:rsidRPr="00956EDA">
        <w:rPr>
          <w:rFonts w:cstheme="minorHAnsi"/>
        </w:rPr>
        <w:t xml:space="preserve"> Washington, DC: Council of Chief State School Officers.</w:t>
      </w:r>
    </w:p>
    <w:p w14:paraId="157C322D" w14:textId="77777777" w:rsidR="000F06CE" w:rsidRPr="00956EDA" w:rsidRDefault="000F06CE" w:rsidP="000F06CE">
      <w:pPr>
        <w:spacing w:after="0"/>
        <w:ind w:left="720" w:hanging="720"/>
        <w:rPr>
          <w:rFonts w:cstheme="minorHAnsi"/>
        </w:rPr>
      </w:pPr>
      <w:r w:rsidRPr="00956EDA">
        <w:rPr>
          <w:rFonts w:cstheme="minorHAnsi"/>
        </w:rPr>
        <w:t xml:space="preserve">Darling-Hammond, L. (1996). The right to learn and the advancement of teaching: Research, policy, and practice for democratic education, </w:t>
      </w:r>
      <w:r w:rsidRPr="00956EDA">
        <w:rPr>
          <w:rFonts w:cstheme="minorHAnsi"/>
          <w:i/>
        </w:rPr>
        <w:t>Educational Researcher, 25</w:t>
      </w:r>
      <w:r w:rsidRPr="00956EDA">
        <w:rPr>
          <w:rFonts w:cstheme="minorHAnsi"/>
        </w:rPr>
        <w:t>, 5-17.</w:t>
      </w:r>
    </w:p>
    <w:p w14:paraId="589D9D8C" w14:textId="77777777" w:rsidR="000F06CE" w:rsidRPr="00956EDA" w:rsidRDefault="000F06CE" w:rsidP="000F06CE">
      <w:pPr>
        <w:pStyle w:val="Normal1"/>
        <w:ind w:left="720" w:hanging="720"/>
        <w:rPr>
          <w:rFonts w:asciiTheme="minorHAnsi" w:eastAsia="Times New Roman" w:hAnsiTheme="minorHAnsi" w:cstheme="minorHAnsi"/>
          <w:szCs w:val="22"/>
        </w:rPr>
      </w:pPr>
      <w:r w:rsidRPr="00956EDA">
        <w:rPr>
          <w:rFonts w:asciiTheme="minorHAnsi" w:eastAsia="Times New Roman" w:hAnsiTheme="minorHAnsi" w:cstheme="minorHAnsi"/>
          <w:szCs w:val="22"/>
        </w:rPr>
        <w:t xml:space="preserve">Darling-Hammond, L., &amp; Bransford, J. (Eds.). (2006). </w:t>
      </w:r>
      <w:r w:rsidRPr="00956EDA">
        <w:rPr>
          <w:rFonts w:asciiTheme="minorHAnsi" w:eastAsia="Times New Roman" w:hAnsiTheme="minorHAnsi" w:cstheme="minorHAnsi"/>
          <w:i/>
          <w:szCs w:val="22"/>
        </w:rPr>
        <w:t>Preparing teachers for a changing world: What teachers should learn and be able to do</w:t>
      </w:r>
      <w:r w:rsidRPr="00956EDA">
        <w:rPr>
          <w:rFonts w:asciiTheme="minorHAnsi" w:eastAsia="Times New Roman" w:hAnsiTheme="minorHAnsi" w:cstheme="minorHAnsi"/>
          <w:szCs w:val="22"/>
        </w:rPr>
        <w:t>. San Francisco: John Wiley.</w:t>
      </w:r>
    </w:p>
    <w:p w14:paraId="31B1DC5A" w14:textId="77777777" w:rsidR="00DA707F" w:rsidRPr="00956EDA" w:rsidRDefault="00DA707F" w:rsidP="000F06CE">
      <w:pPr>
        <w:spacing w:after="0" w:line="240" w:lineRule="auto"/>
        <w:ind w:left="720" w:hanging="720"/>
        <w:rPr>
          <w:rFonts w:cstheme="minorHAnsi"/>
        </w:rPr>
      </w:pPr>
      <w:r w:rsidRPr="00956EDA">
        <w:rPr>
          <w:rFonts w:cstheme="minorHAnsi"/>
        </w:rPr>
        <w:t xml:space="preserve">Darling-Hammond, L. (2010).  </w:t>
      </w:r>
      <w:r w:rsidRPr="00956EDA">
        <w:rPr>
          <w:rFonts w:cstheme="minorHAnsi"/>
          <w:i/>
        </w:rPr>
        <w:t>The flat world and education:  How America’s commitment to equity will determine our future</w:t>
      </w:r>
      <w:r w:rsidRPr="00956EDA">
        <w:rPr>
          <w:rFonts w:cstheme="minorHAnsi"/>
        </w:rPr>
        <w:t>. New York:  Teachers College Press.</w:t>
      </w:r>
    </w:p>
    <w:p w14:paraId="0F5F3008" w14:textId="77777777" w:rsidR="00705748" w:rsidRPr="00956EDA" w:rsidRDefault="00705748" w:rsidP="00705748">
      <w:pPr>
        <w:pStyle w:val="Normal1"/>
        <w:ind w:left="720" w:hanging="720"/>
        <w:rPr>
          <w:rFonts w:asciiTheme="minorHAnsi" w:hAnsiTheme="minorHAnsi" w:cstheme="minorHAnsi"/>
          <w:color w:val="auto"/>
          <w:szCs w:val="22"/>
        </w:rPr>
      </w:pPr>
      <w:r w:rsidRPr="00956EDA">
        <w:rPr>
          <w:rFonts w:asciiTheme="minorHAnsi" w:hAnsiTheme="minorHAnsi" w:cstheme="minorHAnsi"/>
          <w:szCs w:val="22"/>
        </w:rPr>
        <w:t xml:space="preserve">Darling-Hammond, L., &amp; Hammerness, K., with Grossman, P., Rust, F., &amp; Shulman, L. (2005). </w:t>
      </w:r>
      <w:proofErr w:type="gramStart"/>
      <w:r w:rsidR="00A1236B" w:rsidRPr="00956EDA">
        <w:rPr>
          <w:rFonts w:asciiTheme="minorHAnsi" w:hAnsiTheme="minorHAnsi" w:cstheme="minorHAnsi"/>
          <w:szCs w:val="22"/>
        </w:rPr>
        <w:t>The design of teacher education programs.</w:t>
      </w:r>
      <w:proofErr w:type="gramEnd"/>
      <w:r w:rsidR="00A1236B" w:rsidRPr="00956EDA">
        <w:rPr>
          <w:rFonts w:asciiTheme="minorHAnsi" w:hAnsiTheme="minorHAnsi" w:cstheme="minorHAnsi"/>
          <w:szCs w:val="22"/>
        </w:rPr>
        <w:t xml:space="preserve"> </w:t>
      </w:r>
      <w:r w:rsidRPr="00956EDA">
        <w:rPr>
          <w:rFonts w:asciiTheme="minorHAnsi" w:hAnsiTheme="minorHAnsi" w:cstheme="minorHAnsi"/>
          <w:szCs w:val="22"/>
        </w:rPr>
        <w:t xml:space="preserve">In </w:t>
      </w:r>
      <w:r w:rsidRPr="00956EDA">
        <w:rPr>
          <w:rFonts w:asciiTheme="minorHAnsi" w:eastAsia="Times New Roman" w:hAnsiTheme="minorHAnsi" w:cstheme="minorHAnsi"/>
          <w:color w:val="auto"/>
          <w:szCs w:val="22"/>
        </w:rPr>
        <w:t xml:space="preserve">Darling-Hammond, L., &amp; Bransford, J. (Eds.), </w:t>
      </w:r>
      <w:r w:rsidRPr="00956EDA">
        <w:rPr>
          <w:rFonts w:asciiTheme="minorHAnsi" w:eastAsia="Times New Roman" w:hAnsiTheme="minorHAnsi" w:cstheme="minorHAnsi"/>
          <w:i/>
          <w:color w:val="auto"/>
          <w:szCs w:val="22"/>
        </w:rPr>
        <w:t>Preparing teachers for a changing world: What teachers should learn and be able to do</w:t>
      </w:r>
      <w:r w:rsidRPr="00956EDA">
        <w:rPr>
          <w:rFonts w:asciiTheme="minorHAnsi" w:eastAsia="Times New Roman" w:hAnsiTheme="minorHAnsi" w:cstheme="minorHAnsi"/>
          <w:color w:val="auto"/>
          <w:szCs w:val="22"/>
        </w:rPr>
        <w:t xml:space="preserve"> (pp. 390-441). San Francisco: John Wiley.</w:t>
      </w:r>
    </w:p>
    <w:p w14:paraId="51C25362" w14:textId="77777777" w:rsidR="00D67E0F" w:rsidRPr="00956EDA" w:rsidRDefault="00D67E0F" w:rsidP="00D67E0F">
      <w:pPr>
        <w:spacing w:after="0" w:line="240" w:lineRule="auto"/>
        <w:ind w:left="720" w:hanging="720"/>
        <w:rPr>
          <w:rFonts w:eastAsia="Times New Roman" w:cstheme="minorHAnsi"/>
        </w:rPr>
      </w:pPr>
      <w:r w:rsidRPr="00956EDA">
        <w:rPr>
          <w:rFonts w:eastAsia="Times New Roman" w:cstheme="minorHAnsi"/>
        </w:rPr>
        <w:t>Earl, L. M., &amp; Katz, S. (2006). </w:t>
      </w:r>
      <w:r w:rsidRPr="00956EDA">
        <w:rPr>
          <w:rFonts w:eastAsia="Times New Roman" w:cstheme="minorHAnsi"/>
          <w:i/>
          <w:iCs/>
        </w:rPr>
        <w:t>Leading schools in a data-rich world: Harnessing data for school improvement. </w:t>
      </w:r>
      <w:r w:rsidRPr="00956EDA">
        <w:rPr>
          <w:rFonts w:eastAsia="Times New Roman" w:cstheme="minorHAnsi"/>
        </w:rPr>
        <w:t>Thousand Oaks, CA: Corwin Press.</w:t>
      </w:r>
    </w:p>
    <w:p w14:paraId="2705C473" w14:textId="77777777" w:rsidR="004D6179" w:rsidRPr="00956EDA" w:rsidRDefault="004D6179" w:rsidP="00643A34">
      <w:pPr>
        <w:spacing w:after="0"/>
        <w:ind w:left="720" w:right="-144" w:hanging="720"/>
        <w:rPr>
          <w:rFonts w:cstheme="minorHAnsi"/>
          <w:bCs/>
        </w:rPr>
      </w:pPr>
      <w:r w:rsidRPr="00956EDA">
        <w:rPr>
          <w:rFonts w:cstheme="minorHAnsi"/>
          <w:bCs/>
        </w:rPr>
        <w:t>Educational Leadership Policy Standards: ISLLC 2008. Adopted by the National Policy Board for Educational Administration, Retrieved from http://www.ccsso.org/Resources/Publications/Educational_Leadership_Policy_Standards_ISLLC_2008_as_Adopted_by_the_National_Policy_Board_for_Educational_Administration.html</w:t>
      </w:r>
    </w:p>
    <w:p w14:paraId="234E2E32" w14:textId="77777777" w:rsidR="00EE4E60" w:rsidRPr="00956EDA" w:rsidRDefault="004D6179" w:rsidP="00EE4E60">
      <w:pPr>
        <w:spacing w:after="0"/>
        <w:ind w:left="720" w:right="-144" w:hanging="720"/>
        <w:rPr>
          <w:rFonts w:cstheme="minorHAnsi"/>
        </w:rPr>
      </w:pPr>
      <w:r w:rsidRPr="00956EDA">
        <w:rPr>
          <w:rFonts w:cstheme="minorHAnsi"/>
        </w:rPr>
        <w:lastRenderedPageBreak/>
        <w:t xml:space="preserve">Elmore, R.F. (2004). </w:t>
      </w:r>
      <w:r w:rsidRPr="00956EDA">
        <w:rPr>
          <w:rFonts w:cstheme="minorHAnsi"/>
          <w:i/>
        </w:rPr>
        <w:t>School reform from the inside out: Policy, practice, and performance</w:t>
      </w:r>
      <w:r w:rsidRPr="00956EDA">
        <w:rPr>
          <w:rFonts w:cstheme="minorHAnsi"/>
        </w:rPr>
        <w:t xml:space="preserve">. Harvard Education Press, Cambridge Massachusetts. </w:t>
      </w:r>
    </w:p>
    <w:p w14:paraId="094EF368" w14:textId="77777777" w:rsidR="00DA707F" w:rsidRPr="00956EDA" w:rsidRDefault="00DA707F" w:rsidP="00DA707F">
      <w:pPr>
        <w:spacing w:after="0"/>
        <w:ind w:left="720" w:right="-144" w:hanging="720"/>
        <w:rPr>
          <w:rFonts w:cstheme="minorHAnsi"/>
        </w:rPr>
      </w:pPr>
      <w:proofErr w:type="gramStart"/>
      <w:r w:rsidRPr="00956EDA">
        <w:rPr>
          <w:rFonts w:cstheme="minorHAnsi"/>
        </w:rPr>
        <w:t>English, F., Papa, R., Mullen, C., &amp; Creighton, T. (2012).</w:t>
      </w:r>
      <w:proofErr w:type="gramEnd"/>
      <w:r w:rsidRPr="00956EDA">
        <w:rPr>
          <w:rFonts w:cstheme="minorHAnsi"/>
        </w:rPr>
        <w:t xml:space="preserve"> </w:t>
      </w:r>
      <w:r w:rsidRPr="00956EDA">
        <w:rPr>
          <w:rFonts w:cstheme="minorHAnsi"/>
          <w:i/>
        </w:rPr>
        <w:t>Educational leadership at 2050:  Conjectures, challenges, and promises</w:t>
      </w:r>
      <w:r w:rsidRPr="00956EDA">
        <w:rPr>
          <w:rFonts w:cstheme="minorHAnsi"/>
        </w:rPr>
        <w:t>. Lanham, MD:  Roman &amp; Littlefield.</w:t>
      </w:r>
    </w:p>
    <w:p w14:paraId="34DC9BF2" w14:textId="77777777" w:rsidR="004D6179" w:rsidRPr="00956EDA" w:rsidRDefault="004D6179" w:rsidP="00EE4E60">
      <w:pPr>
        <w:spacing w:after="0"/>
        <w:ind w:left="720" w:right="-144" w:hanging="720"/>
        <w:rPr>
          <w:rFonts w:cstheme="minorHAnsi"/>
        </w:rPr>
      </w:pPr>
      <w:proofErr w:type="gramStart"/>
      <w:r w:rsidRPr="00956EDA">
        <w:rPr>
          <w:rFonts w:cstheme="minorHAnsi"/>
        </w:rPr>
        <w:t>Firestone, W. A., Monfils, L. F., Hayes, M., Polovsky, T., Martinez, M. C., &amp; Hicks, J. E. (2004).</w:t>
      </w:r>
      <w:proofErr w:type="gramEnd"/>
      <w:r w:rsidRPr="00956EDA">
        <w:rPr>
          <w:rFonts w:cstheme="minorHAnsi"/>
        </w:rPr>
        <w:t xml:space="preserve"> In Firestone, </w:t>
      </w:r>
    </w:p>
    <w:p w14:paraId="0E57717A" w14:textId="77777777" w:rsidR="004D6179" w:rsidRPr="00956EDA" w:rsidRDefault="004D6179" w:rsidP="00EE4E60">
      <w:pPr>
        <w:spacing w:after="0"/>
        <w:ind w:left="720" w:right="-144" w:hanging="720"/>
        <w:rPr>
          <w:rFonts w:cstheme="minorHAnsi"/>
        </w:rPr>
      </w:pPr>
      <w:r w:rsidRPr="00956EDA">
        <w:rPr>
          <w:rFonts w:cstheme="minorHAnsi"/>
        </w:rPr>
        <w:t xml:space="preserve">Fullan, M. (2007). </w:t>
      </w:r>
      <w:r w:rsidRPr="00956EDA">
        <w:rPr>
          <w:rFonts w:cstheme="minorHAnsi"/>
          <w:i/>
        </w:rPr>
        <w:t xml:space="preserve">The new </w:t>
      </w:r>
      <w:proofErr w:type="gramStart"/>
      <w:r w:rsidRPr="00956EDA">
        <w:rPr>
          <w:rFonts w:cstheme="minorHAnsi"/>
          <w:i/>
        </w:rPr>
        <w:t>meaning of education change</w:t>
      </w:r>
      <w:proofErr w:type="gramEnd"/>
      <w:r w:rsidRPr="00956EDA">
        <w:rPr>
          <w:rFonts w:cstheme="minorHAnsi"/>
        </w:rPr>
        <w:t xml:space="preserve"> (3</w:t>
      </w:r>
      <w:r w:rsidRPr="00956EDA">
        <w:rPr>
          <w:rFonts w:cstheme="minorHAnsi"/>
          <w:vertAlign w:val="superscript"/>
        </w:rPr>
        <w:t>rd</w:t>
      </w:r>
      <w:r w:rsidRPr="00956EDA">
        <w:rPr>
          <w:rFonts w:cstheme="minorHAnsi"/>
        </w:rPr>
        <w:t xml:space="preserve"> Ed.). New York: Teachers College.</w:t>
      </w:r>
    </w:p>
    <w:p w14:paraId="4BA911A3" w14:textId="77777777" w:rsidR="004D6179" w:rsidRPr="00956EDA" w:rsidRDefault="004D6179" w:rsidP="00643A34">
      <w:pPr>
        <w:spacing w:after="0"/>
        <w:ind w:left="576" w:hanging="576"/>
        <w:rPr>
          <w:rFonts w:cstheme="minorHAnsi"/>
        </w:rPr>
      </w:pPr>
      <w:r w:rsidRPr="00956EDA">
        <w:rPr>
          <w:rFonts w:cstheme="minorHAnsi"/>
        </w:rPr>
        <w:t xml:space="preserve">Gay, G. (2002). Preparing for culturally responsive teaching. </w:t>
      </w:r>
      <w:r w:rsidRPr="00956EDA">
        <w:rPr>
          <w:rFonts w:cstheme="minorHAnsi"/>
          <w:i/>
        </w:rPr>
        <w:t>Journal of Teacher Education, 53</w:t>
      </w:r>
      <w:r w:rsidRPr="00956EDA">
        <w:rPr>
          <w:rFonts w:cstheme="minorHAnsi"/>
        </w:rPr>
        <w:t>(2), 109-116.</w:t>
      </w:r>
    </w:p>
    <w:p w14:paraId="30167C86" w14:textId="77777777" w:rsidR="00D67E0F" w:rsidRPr="00956EDA" w:rsidRDefault="00D67E0F" w:rsidP="00D67E0F">
      <w:pPr>
        <w:spacing w:after="0" w:line="240" w:lineRule="auto"/>
        <w:ind w:left="720" w:hanging="720"/>
        <w:rPr>
          <w:rFonts w:eastAsia="Times New Roman" w:cstheme="minorHAnsi"/>
        </w:rPr>
      </w:pPr>
      <w:proofErr w:type="spellStart"/>
      <w:r w:rsidRPr="00956EDA">
        <w:rPr>
          <w:rFonts w:eastAsia="Times New Roman" w:cstheme="minorHAnsi"/>
        </w:rPr>
        <w:t>Goldring</w:t>
      </w:r>
      <w:proofErr w:type="spellEnd"/>
      <w:r w:rsidRPr="00956EDA">
        <w:rPr>
          <w:rFonts w:eastAsia="Times New Roman" w:cstheme="minorHAnsi"/>
        </w:rPr>
        <w:t xml:space="preserve">, E., &amp; </w:t>
      </w:r>
      <w:proofErr w:type="spellStart"/>
      <w:r w:rsidRPr="00956EDA">
        <w:rPr>
          <w:rFonts w:eastAsia="Times New Roman" w:cstheme="minorHAnsi"/>
        </w:rPr>
        <w:t>Berends</w:t>
      </w:r>
      <w:proofErr w:type="spellEnd"/>
      <w:r w:rsidRPr="00956EDA">
        <w:rPr>
          <w:rFonts w:eastAsia="Times New Roman" w:cstheme="minorHAnsi"/>
        </w:rPr>
        <w:t>, M. (2009). </w:t>
      </w:r>
      <w:r w:rsidRPr="00956EDA">
        <w:rPr>
          <w:rFonts w:eastAsia="Times New Roman" w:cstheme="minorHAnsi"/>
          <w:i/>
          <w:iCs/>
        </w:rPr>
        <w:t>Leading with data: Pathways to improve your school. </w:t>
      </w:r>
      <w:r w:rsidRPr="00956EDA">
        <w:rPr>
          <w:rFonts w:eastAsia="Times New Roman" w:cstheme="minorHAnsi"/>
        </w:rPr>
        <w:t>Thousand Oaks, CA: Corwin Press.</w:t>
      </w:r>
    </w:p>
    <w:p w14:paraId="69B3E024" w14:textId="77777777" w:rsidR="0043786D" w:rsidRPr="00956EDA" w:rsidRDefault="004D6179" w:rsidP="0043786D">
      <w:pPr>
        <w:pStyle w:val="Normal1"/>
        <w:ind w:left="720" w:hanging="720"/>
        <w:rPr>
          <w:rFonts w:asciiTheme="minorHAnsi" w:hAnsiTheme="minorHAnsi" w:cstheme="minorHAnsi"/>
          <w:color w:val="auto"/>
          <w:szCs w:val="22"/>
        </w:rPr>
      </w:pPr>
      <w:proofErr w:type="gramStart"/>
      <w:r w:rsidRPr="00956EDA">
        <w:rPr>
          <w:rFonts w:asciiTheme="minorHAnsi" w:hAnsiTheme="minorHAnsi" w:cstheme="minorHAnsi"/>
          <w:color w:val="auto"/>
          <w:szCs w:val="22"/>
        </w:rPr>
        <w:t>Grossman</w:t>
      </w:r>
      <w:r w:rsidR="0043786D" w:rsidRPr="00956EDA">
        <w:rPr>
          <w:rFonts w:asciiTheme="minorHAnsi" w:hAnsiTheme="minorHAnsi" w:cstheme="minorHAnsi"/>
          <w:szCs w:val="22"/>
        </w:rPr>
        <w:t xml:space="preserve"> P.</w:t>
      </w:r>
      <w:r w:rsidRPr="00956EDA">
        <w:rPr>
          <w:rFonts w:asciiTheme="minorHAnsi" w:hAnsiTheme="minorHAnsi" w:cstheme="minorHAnsi"/>
          <w:color w:val="auto"/>
          <w:szCs w:val="22"/>
        </w:rPr>
        <w:t>, Schoenfeld</w:t>
      </w:r>
      <w:r w:rsidR="0043786D" w:rsidRPr="00956EDA">
        <w:rPr>
          <w:rFonts w:asciiTheme="minorHAnsi" w:hAnsiTheme="minorHAnsi" w:cstheme="minorHAnsi"/>
          <w:szCs w:val="22"/>
        </w:rPr>
        <w:t>, a., with</w:t>
      </w:r>
      <w:r w:rsidRPr="00956EDA">
        <w:rPr>
          <w:rFonts w:asciiTheme="minorHAnsi" w:hAnsiTheme="minorHAnsi" w:cstheme="minorHAnsi"/>
          <w:color w:val="auto"/>
          <w:szCs w:val="22"/>
        </w:rPr>
        <w:t xml:space="preserve"> Lee</w:t>
      </w:r>
      <w:r w:rsidR="0043786D" w:rsidRPr="00956EDA">
        <w:rPr>
          <w:rFonts w:asciiTheme="minorHAnsi" w:hAnsiTheme="minorHAnsi" w:cstheme="minorHAnsi"/>
          <w:szCs w:val="22"/>
        </w:rPr>
        <w:t>, C.</w:t>
      </w:r>
      <w:r w:rsidRPr="00956EDA">
        <w:rPr>
          <w:rFonts w:asciiTheme="minorHAnsi" w:hAnsiTheme="minorHAnsi" w:cstheme="minorHAnsi"/>
          <w:color w:val="auto"/>
          <w:szCs w:val="22"/>
        </w:rPr>
        <w:t xml:space="preserve"> (2005).</w:t>
      </w:r>
      <w:proofErr w:type="gramEnd"/>
      <w:r w:rsidR="0043786D" w:rsidRPr="00956EDA">
        <w:rPr>
          <w:rFonts w:asciiTheme="minorHAnsi" w:hAnsiTheme="minorHAnsi" w:cstheme="minorHAnsi"/>
          <w:szCs w:val="22"/>
        </w:rPr>
        <w:t xml:space="preserve"> </w:t>
      </w:r>
      <w:r w:rsidR="0043786D" w:rsidRPr="00956EDA">
        <w:rPr>
          <w:rFonts w:asciiTheme="minorHAnsi" w:hAnsiTheme="minorHAnsi" w:cstheme="minorHAnsi"/>
          <w:color w:val="auto"/>
          <w:szCs w:val="22"/>
        </w:rPr>
        <w:t xml:space="preserve">In </w:t>
      </w:r>
      <w:r w:rsidR="0043786D" w:rsidRPr="00956EDA">
        <w:rPr>
          <w:rFonts w:asciiTheme="minorHAnsi" w:eastAsia="Times New Roman" w:hAnsiTheme="minorHAnsi" w:cstheme="minorHAnsi"/>
          <w:color w:val="auto"/>
          <w:szCs w:val="22"/>
        </w:rPr>
        <w:t xml:space="preserve">Darling-Hammond, L., &amp; Bransford, J. (Eds.), </w:t>
      </w:r>
      <w:r w:rsidR="0043786D" w:rsidRPr="00956EDA">
        <w:rPr>
          <w:rFonts w:asciiTheme="minorHAnsi" w:eastAsia="Times New Roman" w:hAnsiTheme="minorHAnsi" w:cstheme="minorHAnsi"/>
          <w:i/>
          <w:color w:val="auto"/>
          <w:szCs w:val="22"/>
        </w:rPr>
        <w:t>Preparing teachers for a changing world: What teachers should learn and be able to do</w:t>
      </w:r>
      <w:r w:rsidR="0043786D" w:rsidRPr="00956EDA">
        <w:rPr>
          <w:rFonts w:asciiTheme="minorHAnsi" w:eastAsia="Times New Roman" w:hAnsiTheme="minorHAnsi" w:cstheme="minorHAnsi"/>
          <w:color w:val="auto"/>
          <w:szCs w:val="22"/>
        </w:rPr>
        <w:t xml:space="preserve"> (pp. 201-231). San Francisco</w:t>
      </w:r>
      <w:r w:rsidR="00602AD7" w:rsidRPr="00956EDA">
        <w:rPr>
          <w:rFonts w:asciiTheme="minorHAnsi" w:eastAsia="Times New Roman" w:hAnsiTheme="minorHAnsi" w:cstheme="minorHAnsi"/>
          <w:color w:val="auto"/>
          <w:szCs w:val="22"/>
        </w:rPr>
        <w:t>, CA</w:t>
      </w:r>
      <w:r w:rsidR="0043786D" w:rsidRPr="00956EDA">
        <w:rPr>
          <w:rFonts w:asciiTheme="minorHAnsi" w:eastAsia="Times New Roman" w:hAnsiTheme="minorHAnsi" w:cstheme="minorHAnsi"/>
          <w:color w:val="auto"/>
          <w:szCs w:val="22"/>
        </w:rPr>
        <w:t>: John Wiley.</w:t>
      </w:r>
    </w:p>
    <w:p w14:paraId="34AABF83" w14:textId="77777777" w:rsidR="004D6179" w:rsidRPr="00956EDA" w:rsidRDefault="004D6179" w:rsidP="00643A34">
      <w:pPr>
        <w:spacing w:after="0"/>
        <w:rPr>
          <w:rFonts w:cstheme="minorHAnsi"/>
        </w:rPr>
      </w:pPr>
      <w:r w:rsidRPr="00956EDA">
        <w:rPr>
          <w:rFonts w:cstheme="minorHAnsi"/>
        </w:rPr>
        <w:t xml:space="preserve">Haberman, M. (1991). </w:t>
      </w:r>
      <w:proofErr w:type="gramStart"/>
      <w:r w:rsidRPr="00956EDA">
        <w:rPr>
          <w:rFonts w:cstheme="minorHAnsi"/>
        </w:rPr>
        <w:t>The pedagogy of poverty versus good teaching.</w:t>
      </w:r>
      <w:proofErr w:type="gramEnd"/>
      <w:r w:rsidRPr="00956EDA">
        <w:rPr>
          <w:rFonts w:cstheme="minorHAnsi"/>
        </w:rPr>
        <w:t xml:space="preserve"> </w:t>
      </w:r>
      <w:r w:rsidRPr="00956EDA">
        <w:rPr>
          <w:rFonts w:cstheme="minorHAnsi"/>
          <w:i/>
        </w:rPr>
        <w:t>Phi Delta Kappan</w:t>
      </w:r>
      <w:r w:rsidRPr="00956EDA">
        <w:rPr>
          <w:rFonts w:cstheme="minorHAnsi"/>
        </w:rPr>
        <w:t>, 290-294.</w:t>
      </w:r>
    </w:p>
    <w:p w14:paraId="1581D6CA" w14:textId="77777777" w:rsidR="004D6179" w:rsidRPr="00956EDA" w:rsidRDefault="004D6179" w:rsidP="00643A34">
      <w:pPr>
        <w:spacing w:after="0"/>
        <w:ind w:left="576" w:hanging="576"/>
        <w:rPr>
          <w:rFonts w:cstheme="minorHAnsi"/>
        </w:rPr>
      </w:pPr>
      <w:r w:rsidRPr="00956EDA">
        <w:rPr>
          <w:rFonts w:cstheme="minorHAnsi"/>
        </w:rPr>
        <w:t xml:space="preserve">Ladson-Billings, G. (1995). But that’s just good teaching! </w:t>
      </w:r>
      <w:proofErr w:type="gramStart"/>
      <w:r w:rsidRPr="00956EDA">
        <w:rPr>
          <w:rFonts w:cstheme="minorHAnsi"/>
        </w:rPr>
        <w:t>The case for culturally relevant pedagogy.</w:t>
      </w:r>
      <w:proofErr w:type="gramEnd"/>
      <w:r w:rsidRPr="00956EDA">
        <w:rPr>
          <w:rFonts w:cstheme="minorHAnsi"/>
        </w:rPr>
        <w:t xml:space="preserve"> </w:t>
      </w:r>
      <w:r w:rsidRPr="00956EDA">
        <w:rPr>
          <w:rFonts w:cstheme="minorHAnsi"/>
          <w:i/>
        </w:rPr>
        <w:t>Theory into Practice</w:t>
      </w:r>
      <w:r w:rsidRPr="00956EDA">
        <w:rPr>
          <w:rFonts w:cstheme="minorHAnsi"/>
        </w:rPr>
        <w:t xml:space="preserve">, </w:t>
      </w:r>
      <w:r w:rsidRPr="00956EDA">
        <w:rPr>
          <w:rFonts w:cstheme="minorHAnsi"/>
          <w:i/>
        </w:rPr>
        <w:t>34</w:t>
      </w:r>
      <w:r w:rsidRPr="00956EDA">
        <w:rPr>
          <w:rFonts w:cstheme="minorHAnsi"/>
        </w:rPr>
        <w:t xml:space="preserve">(3), 159-165. </w:t>
      </w:r>
    </w:p>
    <w:p w14:paraId="3119C0D3" w14:textId="77777777" w:rsidR="004D6179" w:rsidRPr="00956EDA" w:rsidRDefault="004D6179" w:rsidP="00643A34">
      <w:pPr>
        <w:spacing w:after="0"/>
        <w:ind w:left="576" w:hanging="576"/>
        <w:rPr>
          <w:rFonts w:cstheme="minorHAnsi"/>
        </w:rPr>
      </w:pPr>
      <w:r w:rsidRPr="00956EDA">
        <w:rPr>
          <w:rFonts w:cstheme="minorHAnsi"/>
        </w:rPr>
        <w:t xml:space="preserve">Ladson-Billings, G. (2006). </w:t>
      </w:r>
      <w:proofErr w:type="gramStart"/>
      <w:r w:rsidRPr="00956EDA">
        <w:rPr>
          <w:rFonts w:cstheme="minorHAnsi"/>
        </w:rPr>
        <w:t>The problem with teacher education.</w:t>
      </w:r>
      <w:proofErr w:type="gramEnd"/>
      <w:r w:rsidRPr="00956EDA">
        <w:rPr>
          <w:rFonts w:cstheme="minorHAnsi"/>
        </w:rPr>
        <w:t xml:space="preserve"> </w:t>
      </w:r>
      <w:r w:rsidRPr="00956EDA">
        <w:rPr>
          <w:rFonts w:cstheme="minorHAnsi"/>
          <w:i/>
        </w:rPr>
        <w:t>Anthropology and Education</w:t>
      </w:r>
      <w:r w:rsidRPr="00956EDA">
        <w:rPr>
          <w:rFonts w:cstheme="minorHAnsi"/>
        </w:rPr>
        <w:t xml:space="preserve">, </w:t>
      </w:r>
      <w:r w:rsidRPr="00956EDA">
        <w:rPr>
          <w:rFonts w:cstheme="minorHAnsi"/>
          <w:i/>
        </w:rPr>
        <w:t>37</w:t>
      </w:r>
      <w:r w:rsidRPr="00956EDA">
        <w:rPr>
          <w:rFonts w:cstheme="minorHAnsi"/>
        </w:rPr>
        <w:t>(2), 104-109.</w:t>
      </w:r>
    </w:p>
    <w:p w14:paraId="44073665" w14:textId="77777777" w:rsidR="004D6179" w:rsidRPr="00956EDA" w:rsidRDefault="004D6179" w:rsidP="00643A34">
      <w:pPr>
        <w:autoSpaceDE w:val="0"/>
        <w:autoSpaceDN w:val="0"/>
        <w:adjustRightInd w:val="0"/>
        <w:spacing w:after="0"/>
        <w:ind w:left="720" w:hanging="720"/>
        <w:rPr>
          <w:rFonts w:cstheme="minorHAnsi"/>
        </w:rPr>
      </w:pPr>
      <w:proofErr w:type="gramStart"/>
      <w:r w:rsidRPr="00956EDA">
        <w:rPr>
          <w:rFonts w:cstheme="minorHAnsi"/>
        </w:rPr>
        <w:t>LAS definition of diversity (2004).</w:t>
      </w:r>
      <w:proofErr w:type="gramEnd"/>
      <w:r w:rsidRPr="00956EDA">
        <w:rPr>
          <w:rFonts w:cstheme="minorHAnsi"/>
        </w:rPr>
        <w:t xml:space="preserve"> Iowa State University: College of Liberal Arts &amp; Sciences. Retrieved January 5, 2009 from http://www.las.iastate.edu/diversity/definition.shtml</w:t>
      </w:r>
    </w:p>
    <w:p w14:paraId="63BE8F11" w14:textId="77777777" w:rsidR="004D6179" w:rsidRPr="00956EDA" w:rsidRDefault="004D6179" w:rsidP="00643A34">
      <w:pPr>
        <w:spacing w:after="0"/>
        <w:ind w:left="720" w:right="-144" w:hanging="720"/>
        <w:rPr>
          <w:rFonts w:cstheme="minorHAnsi"/>
          <w:bCs/>
        </w:rPr>
      </w:pPr>
      <w:r w:rsidRPr="00956EDA">
        <w:rPr>
          <w:rFonts w:cstheme="minorHAnsi"/>
          <w:bCs/>
        </w:rPr>
        <w:t xml:space="preserve">Leithwood, K., Mascall, B., &amp;Strauss, T. (2009). Distributed leadership according to the evidence. </w:t>
      </w:r>
      <w:r w:rsidR="00602AD7" w:rsidRPr="00956EDA">
        <w:rPr>
          <w:rFonts w:cstheme="minorHAnsi"/>
          <w:bCs/>
        </w:rPr>
        <w:t xml:space="preserve">New York, NY: </w:t>
      </w:r>
      <w:proofErr w:type="spellStart"/>
      <w:r w:rsidR="00602AD7" w:rsidRPr="00956EDA">
        <w:rPr>
          <w:rFonts w:cstheme="minorHAnsi"/>
          <w:bCs/>
        </w:rPr>
        <w:t>Routledge</w:t>
      </w:r>
      <w:proofErr w:type="spellEnd"/>
      <w:r w:rsidR="00602AD7" w:rsidRPr="00956EDA">
        <w:rPr>
          <w:rFonts w:cstheme="minorHAnsi"/>
          <w:bCs/>
        </w:rPr>
        <w:t>.</w:t>
      </w:r>
    </w:p>
    <w:p w14:paraId="208358DE" w14:textId="77777777" w:rsidR="005255E2" w:rsidRPr="00956EDA" w:rsidRDefault="005255E2" w:rsidP="005255E2">
      <w:pPr>
        <w:pStyle w:val="Normal1"/>
        <w:ind w:left="720" w:hanging="720"/>
        <w:rPr>
          <w:rFonts w:asciiTheme="minorHAnsi" w:hAnsiTheme="minorHAnsi" w:cstheme="minorHAnsi"/>
          <w:color w:val="auto"/>
          <w:szCs w:val="22"/>
        </w:rPr>
      </w:pPr>
      <w:r w:rsidRPr="00956EDA">
        <w:rPr>
          <w:rFonts w:asciiTheme="minorHAnsi" w:hAnsiTheme="minorHAnsi" w:cstheme="minorHAnsi"/>
        </w:rPr>
        <w:t xml:space="preserve">LePage, P., Darling-Hammond, L., &amp; </w:t>
      </w:r>
      <w:proofErr w:type="spellStart"/>
      <w:r w:rsidRPr="00956EDA">
        <w:rPr>
          <w:rFonts w:asciiTheme="minorHAnsi" w:hAnsiTheme="minorHAnsi" w:cstheme="minorHAnsi"/>
        </w:rPr>
        <w:t>Akar</w:t>
      </w:r>
      <w:proofErr w:type="spellEnd"/>
      <w:r w:rsidRPr="00956EDA">
        <w:rPr>
          <w:rFonts w:asciiTheme="minorHAnsi" w:hAnsiTheme="minorHAnsi" w:cstheme="minorHAnsi"/>
        </w:rPr>
        <w:t xml:space="preserve">, H., with Gutierrez, C., Jenkins-Gunn, E., &amp; </w:t>
      </w:r>
      <w:proofErr w:type="spellStart"/>
      <w:r w:rsidRPr="00956EDA">
        <w:rPr>
          <w:rFonts w:asciiTheme="minorHAnsi" w:hAnsiTheme="minorHAnsi" w:cstheme="minorHAnsi"/>
        </w:rPr>
        <w:t>Rosebrock</w:t>
      </w:r>
      <w:proofErr w:type="spellEnd"/>
      <w:r w:rsidRPr="00956EDA">
        <w:rPr>
          <w:rFonts w:asciiTheme="minorHAnsi" w:hAnsiTheme="minorHAnsi" w:cstheme="minorHAnsi"/>
        </w:rPr>
        <w:t xml:space="preserve">, K. (2005). </w:t>
      </w:r>
      <w:r w:rsidR="00A1236B" w:rsidRPr="00956EDA">
        <w:rPr>
          <w:rFonts w:asciiTheme="minorHAnsi" w:hAnsiTheme="minorHAnsi" w:cstheme="minorHAnsi"/>
        </w:rPr>
        <w:t xml:space="preserve">Classroom management. </w:t>
      </w:r>
      <w:proofErr w:type="gramStart"/>
      <w:r w:rsidRPr="00956EDA">
        <w:rPr>
          <w:rFonts w:asciiTheme="minorHAnsi" w:hAnsiTheme="minorHAnsi" w:cstheme="minorHAnsi"/>
        </w:rPr>
        <w:t xml:space="preserve">In  </w:t>
      </w:r>
      <w:r w:rsidRPr="00956EDA">
        <w:rPr>
          <w:rFonts w:asciiTheme="minorHAnsi" w:eastAsia="Times New Roman" w:hAnsiTheme="minorHAnsi" w:cstheme="minorHAnsi"/>
          <w:color w:val="auto"/>
          <w:szCs w:val="22"/>
        </w:rPr>
        <w:t>Darling</w:t>
      </w:r>
      <w:proofErr w:type="gramEnd"/>
      <w:r w:rsidRPr="00956EDA">
        <w:rPr>
          <w:rFonts w:asciiTheme="minorHAnsi" w:eastAsia="Times New Roman" w:hAnsiTheme="minorHAnsi" w:cstheme="minorHAnsi"/>
          <w:color w:val="auto"/>
          <w:szCs w:val="22"/>
        </w:rPr>
        <w:t xml:space="preserve">-Hammond, L., &amp; Bransford, J. (Eds.), </w:t>
      </w:r>
      <w:r w:rsidRPr="00956EDA">
        <w:rPr>
          <w:rFonts w:asciiTheme="minorHAnsi" w:eastAsia="Times New Roman" w:hAnsiTheme="minorHAnsi" w:cstheme="minorHAnsi"/>
          <w:i/>
          <w:color w:val="auto"/>
          <w:szCs w:val="22"/>
        </w:rPr>
        <w:t>Preparing teachers for a changing world: What teachers should learn and be able to do</w:t>
      </w:r>
      <w:r w:rsidRPr="00956EDA">
        <w:rPr>
          <w:rFonts w:asciiTheme="minorHAnsi" w:eastAsia="Times New Roman" w:hAnsiTheme="minorHAnsi" w:cstheme="minorHAnsi"/>
          <w:color w:val="auto"/>
          <w:szCs w:val="22"/>
        </w:rPr>
        <w:t xml:space="preserve"> (pp. 327-357). San Francisco</w:t>
      </w:r>
      <w:r w:rsidR="00602AD7" w:rsidRPr="00956EDA">
        <w:rPr>
          <w:rFonts w:asciiTheme="minorHAnsi" w:eastAsia="Times New Roman" w:hAnsiTheme="minorHAnsi" w:cstheme="minorHAnsi"/>
          <w:color w:val="auto"/>
          <w:szCs w:val="22"/>
        </w:rPr>
        <w:t>, CA</w:t>
      </w:r>
      <w:r w:rsidRPr="00956EDA">
        <w:rPr>
          <w:rFonts w:asciiTheme="minorHAnsi" w:eastAsia="Times New Roman" w:hAnsiTheme="minorHAnsi" w:cstheme="minorHAnsi"/>
          <w:color w:val="auto"/>
          <w:szCs w:val="22"/>
        </w:rPr>
        <w:t>: John Wiley.</w:t>
      </w:r>
    </w:p>
    <w:p w14:paraId="69F50062" w14:textId="77777777" w:rsidR="004D6179" w:rsidRPr="00956EDA" w:rsidRDefault="004D6179" w:rsidP="005255E2">
      <w:pPr>
        <w:spacing w:after="0"/>
        <w:ind w:left="720" w:hanging="720"/>
        <w:rPr>
          <w:rFonts w:cstheme="minorHAnsi"/>
        </w:rPr>
      </w:pPr>
      <w:r w:rsidRPr="00956EDA">
        <w:rPr>
          <w:rFonts w:cstheme="minorHAnsi"/>
        </w:rPr>
        <w:t>Marzano</w:t>
      </w:r>
      <w:r w:rsidR="00602AD7" w:rsidRPr="00956EDA">
        <w:rPr>
          <w:rFonts w:cstheme="minorHAnsi"/>
        </w:rPr>
        <w:t xml:space="preserve">, R. J. (2007). </w:t>
      </w:r>
      <w:proofErr w:type="gramStart"/>
      <w:r w:rsidR="00602AD7" w:rsidRPr="00956EDA">
        <w:rPr>
          <w:rFonts w:cstheme="minorHAnsi"/>
          <w:i/>
        </w:rPr>
        <w:t>The art and science of teaching.</w:t>
      </w:r>
      <w:proofErr w:type="gramEnd"/>
      <w:r w:rsidR="00602AD7" w:rsidRPr="00956EDA">
        <w:rPr>
          <w:rFonts w:cstheme="minorHAnsi"/>
          <w:i/>
        </w:rPr>
        <w:t xml:space="preserve"> </w:t>
      </w:r>
      <w:r w:rsidR="00602AD7" w:rsidRPr="00956EDA">
        <w:rPr>
          <w:rFonts w:cstheme="minorHAnsi"/>
        </w:rPr>
        <w:t>Alexandria, VA: ASCD.</w:t>
      </w:r>
    </w:p>
    <w:p w14:paraId="771C913B" w14:textId="77777777" w:rsidR="004D6179" w:rsidRPr="00956EDA" w:rsidRDefault="004D6179" w:rsidP="00643A34">
      <w:pPr>
        <w:widowControl w:val="0"/>
        <w:autoSpaceDE w:val="0"/>
        <w:autoSpaceDN w:val="0"/>
        <w:adjustRightInd w:val="0"/>
        <w:spacing w:after="0"/>
        <w:ind w:left="720" w:hanging="720"/>
        <w:rPr>
          <w:rFonts w:eastAsiaTheme="minorEastAsia" w:cstheme="minorHAnsi"/>
        </w:rPr>
      </w:pPr>
      <w:r w:rsidRPr="00956EDA">
        <w:rPr>
          <w:rFonts w:eastAsiaTheme="minorEastAsia" w:cstheme="minorHAnsi"/>
        </w:rPr>
        <w:t xml:space="preserve">McLeskey, J., &amp; Waldron, N. L. (2006). </w:t>
      </w:r>
      <w:proofErr w:type="gramStart"/>
      <w:r w:rsidRPr="00956EDA">
        <w:rPr>
          <w:rFonts w:eastAsiaTheme="minorEastAsia" w:cstheme="minorHAnsi"/>
        </w:rPr>
        <w:t>Comprehensive school reform and inclusive schools.</w:t>
      </w:r>
      <w:proofErr w:type="gramEnd"/>
      <w:r w:rsidRPr="00956EDA">
        <w:rPr>
          <w:rFonts w:eastAsiaTheme="minorEastAsia" w:cstheme="minorHAnsi"/>
        </w:rPr>
        <w:t xml:space="preserve"> </w:t>
      </w:r>
      <w:r w:rsidRPr="00956EDA">
        <w:rPr>
          <w:rFonts w:eastAsiaTheme="minorEastAsia" w:cstheme="minorHAnsi"/>
          <w:i/>
        </w:rPr>
        <w:t>Theory into Practice</w:t>
      </w:r>
      <w:r w:rsidRPr="00956EDA">
        <w:rPr>
          <w:rFonts w:eastAsiaTheme="minorEastAsia" w:cstheme="minorHAnsi"/>
        </w:rPr>
        <w:t xml:space="preserve">, </w:t>
      </w:r>
      <w:r w:rsidRPr="00956EDA">
        <w:rPr>
          <w:rFonts w:eastAsiaTheme="minorEastAsia" w:cstheme="minorHAnsi"/>
          <w:i/>
        </w:rPr>
        <w:t>45</w:t>
      </w:r>
      <w:r w:rsidRPr="00956EDA">
        <w:rPr>
          <w:rFonts w:eastAsiaTheme="minorEastAsia" w:cstheme="minorHAnsi"/>
        </w:rPr>
        <w:t>(3), 269-278.</w:t>
      </w:r>
    </w:p>
    <w:p w14:paraId="1DFC7846" w14:textId="77777777" w:rsidR="004D6179" w:rsidRPr="00956EDA" w:rsidRDefault="004D6179" w:rsidP="00643A34">
      <w:pPr>
        <w:widowControl w:val="0"/>
        <w:autoSpaceDE w:val="0"/>
        <w:autoSpaceDN w:val="0"/>
        <w:adjustRightInd w:val="0"/>
        <w:spacing w:after="0"/>
        <w:ind w:left="720" w:hanging="720"/>
        <w:rPr>
          <w:rFonts w:eastAsiaTheme="minorEastAsia" w:cstheme="minorHAnsi"/>
        </w:rPr>
      </w:pPr>
      <w:r w:rsidRPr="00956EDA">
        <w:rPr>
          <w:rFonts w:eastAsiaTheme="minorEastAsia" w:cstheme="minorHAnsi"/>
        </w:rPr>
        <w:t xml:space="preserve">McLeskey, J., &amp; Waldron, N. L. (2007). Making differences ordinary in inclusive classrooms. </w:t>
      </w:r>
      <w:r w:rsidRPr="00956EDA">
        <w:rPr>
          <w:rFonts w:eastAsiaTheme="minorEastAsia" w:cstheme="minorHAnsi"/>
          <w:i/>
        </w:rPr>
        <w:t>Intervention in School and Clinic</w:t>
      </w:r>
      <w:r w:rsidRPr="00956EDA">
        <w:rPr>
          <w:rFonts w:eastAsiaTheme="minorEastAsia" w:cstheme="minorHAnsi"/>
        </w:rPr>
        <w:t xml:space="preserve">, </w:t>
      </w:r>
      <w:r w:rsidRPr="00956EDA">
        <w:rPr>
          <w:rFonts w:eastAsiaTheme="minorEastAsia" w:cstheme="minorHAnsi"/>
          <w:i/>
        </w:rPr>
        <w:t>42</w:t>
      </w:r>
      <w:r w:rsidRPr="00956EDA">
        <w:rPr>
          <w:rFonts w:eastAsiaTheme="minorEastAsia" w:cstheme="minorHAnsi"/>
        </w:rPr>
        <w:t>(3), 162-168.</w:t>
      </w:r>
    </w:p>
    <w:p w14:paraId="799EE85F" w14:textId="77777777" w:rsidR="004D6179" w:rsidRPr="00956EDA" w:rsidRDefault="004D6179" w:rsidP="00643A34">
      <w:pPr>
        <w:spacing w:after="0"/>
        <w:ind w:left="720" w:hanging="720"/>
        <w:rPr>
          <w:rFonts w:cstheme="minorHAnsi"/>
        </w:rPr>
      </w:pPr>
      <w:r w:rsidRPr="00956EDA">
        <w:rPr>
          <w:rFonts w:cstheme="minorHAnsi"/>
        </w:rPr>
        <w:t xml:space="preserve">Menken, K. (2006). Teaching to the test: How No Child Left Behind impacts language policy, curriculum, and instruction for English Language learners, </w:t>
      </w:r>
      <w:r w:rsidRPr="00956EDA">
        <w:rPr>
          <w:rFonts w:cstheme="minorHAnsi"/>
          <w:i/>
        </w:rPr>
        <w:t>Bilingual Research Journal, 30</w:t>
      </w:r>
      <w:r w:rsidRPr="00956EDA">
        <w:rPr>
          <w:rFonts w:cstheme="minorHAnsi"/>
        </w:rPr>
        <w:t>, 521-546.</w:t>
      </w:r>
    </w:p>
    <w:p w14:paraId="604587A2" w14:textId="77777777" w:rsidR="004D6179" w:rsidRPr="00956EDA" w:rsidRDefault="004D6179" w:rsidP="00643A34">
      <w:pPr>
        <w:widowControl w:val="0"/>
        <w:autoSpaceDE w:val="0"/>
        <w:autoSpaceDN w:val="0"/>
        <w:adjustRightInd w:val="0"/>
        <w:spacing w:after="0"/>
        <w:ind w:left="810" w:hanging="810"/>
        <w:rPr>
          <w:rFonts w:cstheme="minorHAnsi"/>
        </w:rPr>
      </w:pPr>
      <w:r w:rsidRPr="00956EDA">
        <w:rPr>
          <w:rFonts w:cstheme="minorHAnsi"/>
        </w:rPr>
        <w:t xml:space="preserve">Miller, S. D., &amp; Duffy, G. G., (2006). Are we crazy to keep doing this? </w:t>
      </w:r>
      <w:r w:rsidRPr="00956EDA">
        <w:rPr>
          <w:rFonts w:cstheme="minorHAnsi"/>
          <w:i/>
        </w:rPr>
        <w:t>Reading Today</w:t>
      </w:r>
      <w:r w:rsidRPr="00956EDA">
        <w:rPr>
          <w:rFonts w:cstheme="minorHAnsi"/>
        </w:rPr>
        <w:t xml:space="preserve">, </w:t>
      </w:r>
      <w:r w:rsidRPr="00956EDA">
        <w:rPr>
          <w:rFonts w:cstheme="minorHAnsi"/>
          <w:i/>
        </w:rPr>
        <w:t>24</w:t>
      </w:r>
      <w:r w:rsidRPr="00956EDA">
        <w:rPr>
          <w:rFonts w:cstheme="minorHAnsi"/>
        </w:rPr>
        <w:t>(3), 18.</w:t>
      </w:r>
    </w:p>
    <w:p w14:paraId="66714D42" w14:textId="77777777" w:rsidR="004D6179" w:rsidRPr="00956EDA" w:rsidRDefault="004D6179" w:rsidP="00643A34">
      <w:pPr>
        <w:widowControl w:val="0"/>
        <w:autoSpaceDE w:val="0"/>
        <w:autoSpaceDN w:val="0"/>
        <w:adjustRightInd w:val="0"/>
        <w:spacing w:after="0"/>
        <w:ind w:left="810" w:hanging="810"/>
        <w:rPr>
          <w:rFonts w:cstheme="minorHAnsi"/>
        </w:rPr>
      </w:pPr>
      <w:r w:rsidRPr="00956EDA">
        <w:rPr>
          <w:rFonts w:cstheme="minorHAnsi"/>
        </w:rPr>
        <w:t xml:space="preserve"> Miller, S. D., Duffy, G. G., Rohr, J., Gasparello, R, &amp; Mercier, S. (2005). Preparing teachers for high poverty-schools. </w:t>
      </w:r>
      <w:r w:rsidRPr="00956EDA">
        <w:rPr>
          <w:rFonts w:cstheme="minorHAnsi"/>
          <w:i/>
        </w:rPr>
        <w:t>Educational Leadership</w:t>
      </w:r>
      <w:r w:rsidRPr="00956EDA">
        <w:rPr>
          <w:rFonts w:cstheme="minorHAnsi"/>
        </w:rPr>
        <w:t xml:space="preserve">, </w:t>
      </w:r>
      <w:r w:rsidRPr="00956EDA">
        <w:rPr>
          <w:rFonts w:cstheme="minorHAnsi"/>
          <w:i/>
        </w:rPr>
        <w:t>62</w:t>
      </w:r>
      <w:r w:rsidRPr="00956EDA">
        <w:rPr>
          <w:rFonts w:cstheme="minorHAnsi"/>
        </w:rPr>
        <w:t>, 62-65.</w:t>
      </w:r>
    </w:p>
    <w:p w14:paraId="23ADBD09" w14:textId="77777777" w:rsidR="004D6179" w:rsidRPr="00956EDA" w:rsidRDefault="004D6179" w:rsidP="00643A34">
      <w:pPr>
        <w:spacing w:after="0"/>
        <w:ind w:left="630" w:hanging="630"/>
        <w:rPr>
          <w:rFonts w:cstheme="minorHAnsi"/>
        </w:rPr>
      </w:pPr>
      <w:proofErr w:type="gramStart"/>
      <w:r w:rsidRPr="00956EDA">
        <w:rPr>
          <w:rFonts w:cstheme="minorHAnsi"/>
        </w:rPr>
        <w:t>Moll, L. C., Amanti, C., Neff, D., &amp; González, N. (1992).</w:t>
      </w:r>
      <w:proofErr w:type="gramEnd"/>
      <w:r w:rsidRPr="00956EDA">
        <w:rPr>
          <w:rFonts w:cstheme="minorHAnsi"/>
        </w:rPr>
        <w:t xml:space="preserve"> Funds of knowledge for teaching: Using a qualitative approach to connect homes and classrooms. </w:t>
      </w:r>
      <w:r w:rsidRPr="00956EDA">
        <w:rPr>
          <w:rFonts w:cstheme="minorHAnsi"/>
          <w:i/>
        </w:rPr>
        <w:t>Theory into Practice, 31</w:t>
      </w:r>
      <w:r w:rsidRPr="00956EDA">
        <w:rPr>
          <w:rFonts w:cstheme="minorHAnsi"/>
        </w:rPr>
        <w:t>(2), 132-141.</w:t>
      </w:r>
    </w:p>
    <w:p w14:paraId="5B39D6DD" w14:textId="77777777" w:rsidR="004D6179" w:rsidRPr="00956EDA" w:rsidRDefault="004D6179" w:rsidP="004D6179">
      <w:pPr>
        <w:spacing w:after="0"/>
        <w:ind w:left="720" w:right="-144" w:hanging="720"/>
        <w:rPr>
          <w:rFonts w:cstheme="minorHAnsi"/>
          <w:bCs/>
        </w:rPr>
      </w:pPr>
      <w:r w:rsidRPr="00956EDA">
        <w:rPr>
          <w:rFonts w:cstheme="minorHAnsi"/>
          <w:bCs/>
        </w:rPr>
        <w:t xml:space="preserve">Murphy, J. (2005). </w:t>
      </w:r>
      <w:r w:rsidRPr="00956EDA">
        <w:rPr>
          <w:rFonts w:cstheme="minorHAnsi"/>
          <w:bCs/>
          <w:i/>
        </w:rPr>
        <w:t>Connecting teacher leadership and school improvement</w:t>
      </w:r>
      <w:r w:rsidRPr="00956EDA">
        <w:rPr>
          <w:rFonts w:cstheme="minorHAnsi"/>
          <w:bCs/>
        </w:rPr>
        <w:t xml:space="preserve">. Thousand Oaks, CA: Corwin, Press. </w:t>
      </w:r>
    </w:p>
    <w:p w14:paraId="54F4B8E5" w14:textId="77777777" w:rsidR="004D6179" w:rsidRPr="00956EDA" w:rsidRDefault="004D6179" w:rsidP="004D6179">
      <w:pPr>
        <w:spacing w:after="0"/>
        <w:ind w:left="540" w:hanging="540"/>
        <w:rPr>
          <w:rFonts w:cstheme="minorHAnsi"/>
        </w:rPr>
      </w:pPr>
      <w:proofErr w:type="gramStart"/>
      <w:r w:rsidRPr="00956EDA">
        <w:rPr>
          <w:rFonts w:cstheme="minorHAnsi"/>
        </w:rPr>
        <w:lastRenderedPageBreak/>
        <w:t>National Research Council (2000).</w:t>
      </w:r>
      <w:proofErr w:type="gramEnd"/>
      <w:r w:rsidRPr="00956EDA">
        <w:rPr>
          <w:rFonts w:cstheme="minorHAnsi"/>
        </w:rPr>
        <w:t xml:space="preserve">  How people learn:  Brain, mind, experience, and school.  </w:t>
      </w:r>
      <w:proofErr w:type="gramStart"/>
      <w:r w:rsidRPr="00956EDA">
        <w:rPr>
          <w:rFonts w:cstheme="minorHAnsi"/>
        </w:rPr>
        <w:t>Committee on Developments in the Science of Learning.</w:t>
      </w:r>
      <w:proofErr w:type="gramEnd"/>
      <w:r w:rsidRPr="00956EDA">
        <w:rPr>
          <w:rFonts w:cstheme="minorHAnsi"/>
        </w:rPr>
        <w:t xml:space="preserve">  </w:t>
      </w:r>
      <w:proofErr w:type="gramStart"/>
      <w:r w:rsidRPr="00956EDA">
        <w:rPr>
          <w:rFonts w:cstheme="minorHAnsi"/>
        </w:rPr>
        <w:t>J. D. Bransford, Al. L. Brown, &amp; R. R. Cocking (Eds.).</w:t>
      </w:r>
      <w:proofErr w:type="gramEnd"/>
      <w:r w:rsidRPr="00956EDA">
        <w:rPr>
          <w:rFonts w:cstheme="minorHAnsi"/>
        </w:rPr>
        <w:t xml:space="preserve">  Washington, DC:   National Academy Press.</w:t>
      </w:r>
    </w:p>
    <w:p w14:paraId="4B661683" w14:textId="77777777" w:rsidR="004D6179" w:rsidRPr="00956EDA" w:rsidRDefault="004D6179" w:rsidP="004D6179">
      <w:pPr>
        <w:spacing w:after="0"/>
        <w:ind w:left="540" w:hanging="540"/>
        <w:rPr>
          <w:rFonts w:cstheme="minorHAnsi"/>
        </w:rPr>
      </w:pPr>
      <w:proofErr w:type="gramStart"/>
      <w:r w:rsidRPr="00956EDA">
        <w:rPr>
          <w:rFonts w:cstheme="minorHAnsi"/>
        </w:rPr>
        <w:t>National Research Council (2010).</w:t>
      </w:r>
      <w:proofErr w:type="gramEnd"/>
      <w:r w:rsidRPr="00956EDA">
        <w:rPr>
          <w:rFonts w:cstheme="minorHAnsi"/>
        </w:rPr>
        <w:t xml:space="preserve">  Preparing Teachers:  Building Evidence for Sound Policy.  </w:t>
      </w:r>
      <w:proofErr w:type="gramStart"/>
      <w:r w:rsidRPr="00956EDA">
        <w:rPr>
          <w:rFonts w:cstheme="minorHAnsi"/>
        </w:rPr>
        <w:t>Committee on the Study of Teacher Preparation Programs in the U.S.</w:t>
      </w:r>
      <w:proofErr w:type="gramEnd"/>
      <w:r w:rsidRPr="00956EDA">
        <w:rPr>
          <w:rFonts w:cstheme="minorHAnsi"/>
        </w:rPr>
        <w:t xml:space="preserve">  Washington, DC:  The National Academies Press.</w:t>
      </w:r>
    </w:p>
    <w:p w14:paraId="267A79F5" w14:textId="77777777" w:rsidR="004D6179" w:rsidRPr="00956EDA" w:rsidRDefault="004D6179" w:rsidP="004D6179">
      <w:pPr>
        <w:spacing w:after="0"/>
        <w:ind w:left="540" w:hanging="540"/>
        <w:rPr>
          <w:rFonts w:cstheme="minorHAnsi"/>
        </w:rPr>
      </w:pPr>
      <w:proofErr w:type="gramStart"/>
      <w:r w:rsidRPr="00956EDA">
        <w:rPr>
          <w:rFonts w:cstheme="minorHAnsi"/>
        </w:rPr>
        <w:t>National Research Council, (2005).</w:t>
      </w:r>
      <w:proofErr w:type="gramEnd"/>
      <w:r w:rsidRPr="00956EDA">
        <w:rPr>
          <w:rFonts w:cstheme="minorHAnsi"/>
        </w:rPr>
        <w:t xml:space="preserve">  How students learn:  History, mathematics, and science in the classroom.  Committee on How People Learn, A Targeted Report for Teachers.  M. S. Donovan, &amp; J. D. Bransford (Eds</w:t>
      </w:r>
      <w:r w:rsidR="00F84A74" w:rsidRPr="00956EDA">
        <w:rPr>
          <w:rFonts w:cstheme="minorHAnsi"/>
        </w:rPr>
        <w:t>.</w:t>
      </w:r>
      <w:r w:rsidRPr="00956EDA">
        <w:rPr>
          <w:rFonts w:cstheme="minorHAnsi"/>
        </w:rPr>
        <w:t>).  Washington, DC:  The National Academies Press.</w:t>
      </w:r>
    </w:p>
    <w:p w14:paraId="43A561BA" w14:textId="77777777" w:rsidR="004D6179" w:rsidRPr="00956EDA" w:rsidRDefault="004D6179" w:rsidP="004D6179">
      <w:pPr>
        <w:spacing w:after="0"/>
        <w:ind w:left="720" w:hanging="720"/>
        <w:rPr>
          <w:rFonts w:cstheme="minorHAnsi"/>
        </w:rPr>
      </w:pPr>
      <w:r w:rsidRPr="00956EDA">
        <w:rPr>
          <w:rFonts w:cstheme="minorHAnsi"/>
        </w:rPr>
        <w:t xml:space="preserve">Nichols, S. L., &amp; Berliner, D. C. (2007). </w:t>
      </w:r>
      <w:r w:rsidRPr="00956EDA">
        <w:rPr>
          <w:rFonts w:cstheme="minorHAnsi"/>
          <w:i/>
        </w:rPr>
        <w:t>Collateral damage: How high-stakes testing corrupts America’s schools</w:t>
      </w:r>
      <w:r w:rsidRPr="00956EDA">
        <w:rPr>
          <w:rFonts w:cstheme="minorHAnsi"/>
        </w:rPr>
        <w:t xml:space="preserve">. Cambridge, MA: Harvard Educational Press. </w:t>
      </w:r>
    </w:p>
    <w:p w14:paraId="3AA2FF7A" w14:textId="77777777" w:rsidR="004D6179" w:rsidRPr="00956EDA" w:rsidRDefault="004D6179" w:rsidP="004D6179">
      <w:pPr>
        <w:spacing w:after="0"/>
        <w:rPr>
          <w:rFonts w:cstheme="minorHAnsi"/>
        </w:rPr>
      </w:pPr>
      <w:proofErr w:type="gramStart"/>
      <w:r w:rsidRPr="00956EDA">
        <w:rPr>
          <w:rFonts w:cstheme="minorHAnsi"/>
        </w:rPr>
        <w:t>Popham, W. J. (2001) Teaching to the test?</w:t>
      </w:r>
      <w:proofErr w:type="gramEnd"/>
      <w:r w:rsidRPr="00956EDA">
        <w:rPr>
          <w:rFonts w:cstheme="minorHAnsi"/>
        </w:rPr>
        <w:t xml:space="preserve"> </w:t>
      </w:r>
      <w:r w:rsidRPr="00956EDA">
        <w:rPr>
          <w:rFonts w:cstheme="minorHAnsi"/>
          <w:i/>
        </w:rPr>
        <w:t>Helping All Students Achieve</w:t>
      </w:r>
      <w:r w:rsidRPr="00956EDA">
        <w:rPr>
          <w:rFonts w:cstheme="minorHAnsi"/>
        </w:rPr>
        <w:t>, 58, 16-20.</w:t>
      </w:r>
    </w:p>
    <w:p w14:paraId="1A2FBC2C" w14:textId="77777777" w:rsidR="004D6179" w:rsidRPr="00956EDA" w:rsidRDefault="004D6179" w:rsidP="004D6179">
      <w:pPr>
        <w:spacing w:after="0"/>
        <w:ind w:left="720" w:hanging="720"/>
        <w:rPr>
          <w:rFonts w:cstheme="minorHAnsi"/>
        </w:rPr>
      </w:pPr>
      <w:r w:rsidRPr="00956EDA">
        <w:rPr>
          <w:rFonts w:cstheme="minorHAnsi"/>
        </w:rPr>
        <w:t xml:space="preserve">Resnick, L. B. (2010). Nested learning systems for the thinking curriculum, </w:t>
      </w:r>
      <w:r w:rsidRPr="00956EDA">
        <w:rPr>
          <w:rFonts w:cstheme="minorHAnsi"/>
          <w:i/>
        </w:rPr>
        <w:t>American Educational Research Journal</w:t>
      </w:r>
      <w:r w:rsidRPr="00956EDA">
        <w:rPr>
          <w:rFonts w:cstheme="minorHAnsi"/>
        </w:rPr>
        <w:t>, 183-197.</w:t>
      </w:r>
    </w:p>
    <w:p w14:paraId="34529716" w14:textId="77777777" w:rsidR="002035A1" w:rsidRPr="00956EDA" w:rsidRDefault="00DA707F" w:rsidP="004D6179">
      <w:pPr>
        <w:spacing w:after="0"/>
        <w:ind w:left="540" w:hanging="540"/>
        <w:rPr>
          <w:rFonts w:ascii="Times New Roman" w:hAnsi="Times New Roman" w:cs="Times New Roman"/>
        </w:rPr>
      </w:pPr>
      <w:proofErr w:type="gramStart"/>
      <w:r w:rsidRPr="00956EDA">
        <w:rPr>
          <w:rFonts w:ascii="Times New Roman" w:hAnsi="Times New Roman" w:cs="Times New Roman"/>
        </w:rPr>
        <w:t>Shields, C. M.</w:t>
      </w:r>
      <w:proofErr w:type="gramEnd"/>
      <w:r w:rsidRPr="00956EDA">
        <w:rPr>
          <w:rFonts w:ascii="Times New Roman" w:hAnsi="Times New Roman" w:cs="Times New Roman"/>
        </w:rPr>
        <w:t xml:space="preserve">  (2010).  Transformative leadership:  Working for equity in diverse contexts.  </w:t>
      </w:r>
      <w:r w:rsidRPr="00956EDA">
        <w:rPr>
          <w:rFonts w:ascii="Times New Roman" w:hAnsi="Times New Roman" w:cs="Times New Roman"/>
          <w:i/>
        </w:rPr>
        <w:t>Educational Administration Quarterly</w:t>
      </w:r>
      <w:r w:rsidRPr="00956EDA">
        <w:rPr>
          <w:rFonts w:ascii="Times New Roman" w:hAnsi="Times New Roman" w:cs="Times New Roman"/>
        </w:rPr>
        <w:t xml:space="preserve">, </w:t>
      </w:r>
      <w:r w:rsidRPr="00956EDA">
        <w:rPr>
          <w:rFonts w:ascii="Times New Roman" w:hAnsi="Times New Roman" w:cs="Times New Roman"/>
          <w:i/>
        </w:rPr>
        <w:t>46</w:t>
      </w:r>
      <w:r w:rsidRPr="00956EDA">
        <w:rPr>
          <w:rFonts w:ascii="Times New Roman" w:hAnsi="Times New Roman" w:cs="Times New Roman"/>
        </w:rPr>
        <w:t>(4), p. 558-589.</w:t>
      </w:r>
    </w:p>
    <w:p w14:paraId="5F7AFC2F" w14:textId="77777777" w:rsidR="004D6179" w:rsidRPr="00956EDA" w:rsidRDefault="004D6179" w:rsidP="004D6179">
      <w:pPr>
        <w:spacing w:after="0"/>
        <w:ind w:left="540" w:hanging="540"/>
        <w:rPr>
          <w:rFonts w:cstheme="minorHAnsi"/>
        </w:rPr>
      </w:pPr>
      <w:r w:rsidRPr="00956EDA">
        <w:rPr>
          <w:rFonts w:cstheme="minorHAnsi"/>
        </w:rPr>
        <w:t xml:space="preserve">Shulman, L. (1986).  Those who understand:  Knowledge growth in teaching.  </w:t>
      </w:r>
      <w:r w:rsidRPr="00956EDA">
        <w:rPr>
          <w:rFonts w:cstheme="minorHAnsi"/>
          <w:i/>
        </w:rPr>
        <w:t>Educational Res</w:t>
      </w:r>
      <w:r w:rsidR="00602AD7" w:rsidRPr="00956EDA">
        <w:rPr>
          <w:rFonts w:cstheme="minorHAnsi"/>
          <w:i/>
        </w:rPr>
        <w:t>earcher</w:t>
      </w:r>
      <w:r w:rsidRPr="00956EDA">
        <w:rPr>
          <w:rFonts w:cstheme="minorHAnsi"/>
          <w:i/>
        </w:rPr>
        <w:t>, 15</w:t>
      </w:r>
      <w:r w:rsidRPr="00956EDA">
        <w:rPr>
          <w:rFonts w:cstheme="minorHAnsi"/>
        </w:rPr>
        <w:t xml:space="preserve">, 4-14.  </w:t>
      </w:r>
    </w:p>
    <w:p w14:paraId="0C298513" w14:textId="77777777" w:rsidR="004D6179" w:rsidRPr="00956EDA" w:rsidRDefault="004D6179" w:rsidP="004D6179">
      <w:pPr>
        <w:spacing w:after="0"/>
        <w:ind w:left="540" w:hanging="540"/>
        <w:rPr>
          <w:rFonts w:cstheme="minorHAnsi"/>
        </w:rPr>
      </w:pPr>
      <w:r w:rsidRPr="00956EDA">
        <w:rPr>
          <w:rFonts w:cstheme="minorHAnsi"/>
        </w:rPr>
        <w:t xml:space="preserve">Shulman, L. S. (1987).  Knowledge and teaching:  Foundations of the new reform.  </w:t>
      </w:r>
      <w:r w:rsidRPr="00956EDA">
        <w:rPr>
          <w:rFonts w:cstheme="minorHAnsi"/>
          <w:i/>
        </w:rPr>
        <w:t>Harvard Educational Review, 57</w:t>
      </w:r>
      <w:r w:rsidRPr="00956EDA">
        <w:rPr>
          <w:rFonts w:cstheme="minorHAnsi"/>
        </w:rPr>
        <w:t>, 1-22.</w:t>
      </w:r>
    </w:p>
    <w:p w14:paraId="2FE2CFE4" w14:textId="77777777" w:rsidR="004D6179" w:rsidRPr="00956EDA" w:rsidRDefault="004D6179" w:rsidP="004D6179">
      <w:pPr>
        <w:spacing w:after="0"/>
        <w:ind w:left="720" w:right="-144" w:hanging="720"/>
        <w:rPr>
          <w:rFonts w:cstheme="minorHAnsi"/>
        </w:rPr>
      </w:pPr>
      <w:r w:rsidRPr="00956EDA">
        <w:rPr>
          <w:rFonts w:cstheme="minorHAnsi"/>
        </w:rPr>
        <w:t xml:space="preserve">Spillane, J.P. (2006). </w:t>
      </w:r>
      <w:r w:rsidRPr="00956EDA">
        <w:rPr>
          <w:rFonts w:cstheme="minorHAnsi"/>
          <w:i/>
        </w:rPr>
        <w:t xml:space="preserve">Distributed Leadership, </w:t>
      </w:r>
      <w:r w:rsidR="00602AD7" w:rsidRPr="00956EDA">
        <w:rPr>
          <w:rFonts w:cstheme="minorHAnsi"/>
        </w:rPr>
        <w:t xml:space="preserve">San Francisco, CA: </w:t>
      </w:r>
      <w:proofErr w:type="spellStart"/>
      <w:r w:rsidR="00602AD7" w:rsidRPr="00956EDA">
        <w:rPr>
          <w:rFonts w:cstheme="minorHAnsi"/>
        </w:rPr>
        <w:t>Jossey</w:t>
      </w:r>
      <w:proofErr w:type="spellEnd"/>
      <w:r w:rsidR="00602AD7" w:rsidRPr="00956EDA">
        <w:rPr>
          <w:rFonts w:cstheme="minorHAnsi"/>
        </w:rPr>
        <w:t>-Bass.</w:t>
      </w:r>
    </w:p>
    <w:p w14:paraId="2B4E3B31" w14:textId="77777777" w:rsidR="004D6179" w:rsidRPr="00956EDA" w:rsidRDefault="004D6179" w:rsidP="004D6179">
      <w:pPr>
        <w:pStyle w:val="Normal1"/>
        <w:ind w:left="720" w:hanging="720"/>
        <w:rPr>
          <w:rFonts w:asciiTheme="minorHAnsi" w:eastAsia="Times New Roman" w:hAnsiTheme="minorHAnsi" w:cstheme="minorHAnsi"/>
          <w:color w:val="auto"/>
          <w:szCs w:val="22"/>
        </w:rPr>
      </w:pPr>
      <w:r w:rsidRPr="00956EDA">
        <w:rPr>
          <w:rFonts w:asciiTheme="minorHAnsi" w:eastAsia="Times New Roman" w:hAnsiTheme="minorHAnsi" w:cstheme="minorHAnsi"/>
          <w:color w:val="auto"/>
          <w:szCs w:val="22"/>
        </w:rPr>
        <w:t xml:space="preserve">Villegas, A.M., &amp; Lucas, T. (2002). </w:t>
      </w:r>
      <w:r w:rsidRPr="00956EDA">
        <w:rPr>
          <w:rFonts w:asciiTheme="minorHAnsi" w:eastAsia="Times New Roman" w:hAnsiTheme="minorHAnsi" w:cstheme="minorHAnsi"/>
          <w:i/>
          <w:color w:val="auto"/>
          <w:szCs w:val="22"/>
        </w:rPr>
        <w:t>Educating culturally responsive teachers: A coherent approach</w:t>
      </w:r>
      <w:r w:rsidRPr="00956EDA">
        <w:rPr>
          <w:rFonts w:asciiTheme="minorHAnsi" w:eastAsia="Times New Roman" w:hAnsiTheme="minorHAnsi" w:cstheme="minorHAnsi"/>
          <w:color w:val="auto"/>
          <w:szCs w:val="22"/>
        </w:rPr>
        <w:t>. Albany, NY: SUNY Press</w:t>
      </w:r>
    </w:p>
    <w:p w14:paraId="734186B6" w14:textId="77777777" w:rsidR="00694739" w:rsidRPr="00956EDA" w:rsidRDefault="00431DAF" w:rsidP="004D6179">
      <w:pPr>
        <w:spacing w:after="0"/>
        <w:ind w:left="720" w:right="-144" w:hanging="720"/>
        <w:rPr>
          <w:color w:val="000000"/>
        </w:rPr>
      </w:pPr>
      <w:r w:rsidRPr="00956EDA">
        <w:rPr>
          <w:color w:val="000000"/>
        </w:rPr>
        <w:t>Wilson, S. M., Floden, R. F., &amp; Ferrini-Mundy, J.  (2001, March).</w:t>
      </w:r>
      <w:r w:rsidRPr="00956EDA">
        <w:rPr>
          <w:i/>
          <w:iCs/>
          <w:color w:val="000000"/>
        </w:rPr>
        <w:t xml:space="preserve"> Teacher preparation research:  Current knowledge, recommendations, and priorities for the future</w:t>
      </w:r>
      <w:r w:rsidRPr="00956EDA">
        <w:rPr>
          <w:color w:val="000000"/>
        </w:rPr>
        <w:t xml:space="preserve">.  </w:t>
      </w:r>
      <w:proofErr w:type="gramStart"/>
      <w:r w:rsidRPr="00956EDA">
        <w:rPr>
          <w:color w:val="000000"/>
        </w:rPr>
        <w:t>Center for the Study of Teaching Policy, University of Washington, Seattle, WA.</w:t>
      </w:r>
      <w:proofErr w:type="gramEnd"/>
      <w:r w:rsidRPr="00956EDA">
        <w:rPr>
          <w:color w:val="000000"/>
        </w:rPr>
        <w:t xml:space="preserve"> </w:t>
      </w:r>
    </w:p>
    <w:p w14:paraId="33D9F1FF" w14:textId="77777777" w:rsidR="004D6179" w:rsidRPr="00956EDA" w:rsidRDefault="004D6179" w:rsidP="004D6179">
      <w:pPr>
        <w:spacing w:after="0"/>
        <w:ind w:left="720" w:right="-144" w:hanging="720"/>
        <w:rPr>
          <w:rFonts w:cstheme="minorHAnsi"/>
        </w:rPr>
      </w:pPr>
      <w:proofErr w:type="gramStart"/>
      <w:r w:rsidRPr="00956EDA">
        <w:rPr>
          <w:rFonts w:cstheme="minorHAnsi"/>
        </w:rPr>
        <w:t>York-Barr, J. &amp; Duke, K. (2004).</w:t>
      </w:r>
      <w:proofErr w:type="gramEnd"/>
      <w:r w:rsidRPr="00956EDA">
        <w:rPr>
          <w:rFonts w:cstheme="minorHAnsi"/>
        </w:rPr>
        <w:t xml:space="preserve"> What do we know about teacher leadership? </w:t>
      </w:r>
      <w:proofErr w:type="gramStart"/>
      <w:r w:rsidRPr="00956EDA">
        <w:rPr>
          <w:rFonts w:cstheme="minorHAnsi"/>
        </w:rPr>
        <w:t>Findings from two decades of scholarship.</w:t>
      </w:r>
      <w:proofErr w:type="gramEnd"/>
      <w:r w:rsidRPr="00956EDA">
        <w:rPr>
          <w:rFonts w:cstheme="minorHAnsi"/>
        </w:rPr>
        <w:t xml:space="preserve"> </w:t>
      </w:r>
      <w:r w:rsidRPr="00956EDA">
        <w:rPr>
          <w:rFonts w:cstheme="minorHAnsi"/>
          <w:i/>
        </w:rPr>
        <w:t>Review of Educational Research</w:t>
      </w:r>
      <w:r w:rsidRPr="00956EDA">
        <w:rPr>
          <w:rFonts w:cstheme="minorHAnsi"/>
        </w:rPr>
        <w:t xml:space="preserve">, </w:t>
      </w:r>
      <w:r w:rsidRPr="00956EDA">
        <w:rPr>
          <w:rFonts w:cstheme="minorHAnsi"/>
          <w:i/>
        </w:rPr>
        <w:t>74</w:t>
      </w:r>
      <w:r w:rsidRPr="00956EDA">
        <w:rPr>
          <w:rFonts w:cstheme="minorHAnsi"/>
        </w:rPr>
        <w:t xml:space="preserve">(3), 255-316. </w:t>
      </w:r>
    </w:p>
    <w:p w14:paraId="4B25A378" w14:textId="77777777" w:rsidR="000F06CE" w:rsidRPr="000F06CE" w:rsidRDefault="004D6179" w:rsidP="000F06CE">
      <w:pPr>
        <w:widowControl w:val="0"/>
        <w:autoSpaceDE w:val="0"/>
        <w:autoSpaceDN w:val="0"/>
        <w:adjustRightInd w:val="0"/>
        <w:spacing w:after="0"/>
        <w:ind w:left="720" w:hanging="720"/>
        <w:rPr>
          <w:rFonts w:eastAsiaTheme="minorEastAsia" w:cstheme="minorHAnsi"/>
        </w:rPr>
      </w:pPr>
      <w:proofErr w:type="gramStart"/>
      <w:r w:rsidRPr="00956EDA">
        <w:rPr>
          <w:rFonts w:eastAsiaTheme="minorEastAsia" w:cstheme="minorHAnsi"/>
        </w:rPr>
        <w:t>Zigmond, N., Kloo, A., &amp; Volonino, V. (2009).</w:t>
      </w:r>
      <w:proofErr w:type="gramEnd"/>
      <w:r w:rsidRPr="00956EDA">
        <w:rPr>
          <w:rFonts w:eastAsiaTheme="minorEastAsia" w:cstheme="minorHAnsi"/>
        </w:rPr>
        <w:t xml:space="preserve"> What, where, and how? </w:t>
      </w:r>
      <w:proofErr w:type="gramStart"/>
      <w:r w:rsidRPr="00956EDA">
        <w:rPr>
          <w:rFonts w:eastAsiaTheme="minorEastAsia" w:cstheme="minorHAnsi"/>
        </w:rPr>
        <w:t>Special education in the climate of full inclusion.</w:t>
      </w:r>
      <w:proofErr w:type="gramEnd"/>
      <w:r w:rsidRPr="00956EDA">
        <w:rPr>
          <w:rFonts w:eastAsiaTheme="minorEastAsia" w:cstheme="minorHAnsi"/>
        </w:rPr>
        <w:t xml:space="preserve"> </w:t>
      </w:r>
      <w:r w:rsidRPr="00956EDA">
        <w:rPr>
          <w:rFonts w:eastAsiaTheme="minorEastAsia" w:cstheme="minorHAnsi"/>
          <w:i/>
        </w:rPr>
        <w:t>Exceptionality</w:t>
      </w:r>
      <w:r w:rsidRPr="00956EDA">
        <w:rPr>
          <w:rFonts w:eastAsiaTheme="minorEastAsia" w:cstheme="minorHAnsi"/>
        </w:rPr>
        <w:t>,</w:t>
      </w:r>
      <w:r w:rsidRPr="00956EDA">
        <w:rPr>
          <w:rFonts w:eastAsiaTheme="minorEastAsia" w:cstheme="minorHAnsi"/>
          <w:i/>
        </w:rPr>
        <w:t xml:space="preserve"> 17</w:t>
      </w:r>
      <w:r w:rsidRPr="00956EDA">
        <w:rPr>
          <w:rFonts w:eastAsiaTheme="minorEastAsia" w:cstheme="minorHAnsi"/>
        </w:rPr>
        <w:t>, 189-204.</w:t>
      </w:r>
      <w:bookmarkStart w:id="0" w:name="_GoBack"/>
      <w:bookmarkEnd w:id="0"/>
    </w:p>
    <w:sectPr w:rsidR="000F06CE" w:rsidRPr="000F06CE" w:rsidSect="00751C70">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4AAE" w14:textId="77777777" w:rsidR="00AA7191" w:rsidRDefault="00AA7191" w:rsidP="00BE49B2">
      <w:pPr>
        <w:spacing w:after="0" w:line="240" w:lineRule="auto"/>
      </w:pPr>
      <w:r>
        <w:separator/>
      </w:r>
    </w:p>
  </w:endnote>
  <w:endnote w:type="continuationSeparator" w:id="0">
    <w:p w14:paraId="2BDFF239" w14:textId="77777777" w:rsidR="00AA7191" w:rsidRDefault="00AA7191" w:rsidP="00BE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9B39" w14:textId="77777777" w:rsidR="00AA7191" w:rsidRDefault="00AA7191" w:rsidP="00BE49B2">
      <w:pPr>
        <w:spacing w:after="0" w:line="240" w:lineRule="auto"/>
      </w:pPr>
      <w:r>
        <w:separator/>
      </w:r>
    </w:p>
  </w:footnote>
  <w:footnote w:type="continuationSeparator" w:id="0">
    <w:p w14:paraId="46975F6E" w14:textId="77777777" w:rsidR="00AA7191" w:rsidRDefault="00AA7191" w:rsidP="00BE4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1CEF" w14:textId="77777777" w:rsidR="002F6D36" w:rsidRPr="00BE49B2" w:rsidRDefault="002F6D36">
    <w:pPr>
      <w:pStyle w:val="Header"/>
      <w:rPr>
        <w:sz w:val="18"/>
        <w:szCs w:val="18"/>
      </w:rPr>
    </w:pPr>
    <w:r w:rsidRPr="00BE49B2">
      <w:rPr>
        <w:sz w:val="18"/>
        <w:szCs w:val="18"/>
      </w:rPr>
      <w:t>UNCG Conceptual Framework</w:t>
    </w:r>
  </w:p>
  <w:p w14:paraId="2934C20F" w14:textId="77777777" w:rsidR="002F6D36" w:rsidRPr="00BE49B2" w:rsidRDefault="002F6D36">
    <w:pPr>
      <w:pStyle w:val="Header"/>
      <w:rPr>
        <w:sz w:val="18"/>
        <w:szCs w:val="18"/>
      </w:rPr>
    </w:pPr>
    <w:r w:rsidRPr="00BE49B2">
      <w:rPr>
        <w:sz w:val="18"/>
        <w:szCs w:val="18"/>
      </w:rPr>
      <w:t xml:space="preserve">Page </w:t>
    </w:r>
    <w:r w:rsidRPr="00BE49B2">
      <w:rPr>
        <w:sz w:val="18"/>
        <w:szCs w:val="18"/>
      </w:rPr>
      <w:fldChar w:fldCharType="begin"/>
    </w:r>
    <w:r w:rsidRPr="00BE49B2">
      <w:rPr>
        <w:sz w:val="18"/>
        <w:szCs w:val="18"/>
      </w:rPr>
      <w:instrText xml:space="preserve"> PAGE   \* MERGEFORMAT </w:instrText>
    </w:r>
    <w:r w:rsidRPr="00BE49B2">
      <w:rPr>
        <w:sz w:val="18"/>
        <w:szCs w:val="18"/>
      </w:rPr>
      <w:fldChar w:fldCharType="separate"/>
    </w:r>
    <w:r w:rsidR="00956EDA">
      <w:rPr>
        <w:noProof/>
        <w:sz w:val="18"/>
        <w:szCs w:val="18"/>
      </w:rPr>
      <w:t>19</w:t>
    </w:r>
    <w:r w:rsidRPr="00BE49B2">
      <w:rPr>
        <w:noProof/>
        <w:sz w:val="18"/>
        <w:szCs w:val="18"/>
      </w:rPr>
      <w:fldChar w:fldCharType="end"/>
    </w:r>
  </w:p>
  <w:p w14:paraId="68058CFE" w14:textId="77777777" w:rsidR="002F6D36" w:rsidRDefault="002F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964"/>
    <w:multiLevelType w:val="hybridMultilevel"/>
    <w:tmpl w:val="7E6C7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91775"/>
    <w:multiLevelType w:val="hybridMultilevel"/>
    <w:tmpl w:val="17022E24"/>
    <w:lvl w:ilvl="0" w:tplc="FA28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0E4B"/>
    <w:multiLevelType w:val="hybridMultilevel"/>
    <w:tmpl w:val="37DEC002"/>
    <w:lvl w:ilvl="0" w:tplc="7D8E54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F6735"/>
    <w:multiLevelType w:val="hybridMultilevel"/>
    <w:tmpl w:val="2F12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60B0B"/>
    <w:multiLevelType w:val="hybridMultilevel"/>
    <w:tmpl w:val="4D60B906"/>
    <w:lvl w:ilvl="0" w:tplc="7D8E54C6">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84CCE"/>
    <w:multiLevelType w:val="hybridMultilevel"/>
    <w:tmpl w:val="9048A660"/>
    <w:lvl w:ilvl="0" w:tplc="C77A4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E757AE"/>
    <w:multiLevelType w:val="hybridMultilevel"/>
    <w:tmpl w:val="F5AE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E5A5F"/>
    <w:multiLevelType w:val="hybridMultilevel"/>
    <w:tmpl w:val="4C9C608A"/>
    <w:lvl w:ilvl="0" w:tplc="8E76D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472C9"/>
    <w:multiLevelType w:val="hybridMultilevel"/>
    <w:tmpl w:val="A18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200A5"/>
    <w:multiLevelType w:val="hybridMultilevel"/>
    <w:tmpl w:val="CCF8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56AAC"/>
    <w:multiLevelType w:val="hybridMultilevel"/>
    <w:tmpl w:val="C8FC02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826C08"/>
    <w:multiLevelType w:val="hybridMultilevel"/>
    <w:tmpl w:val="0CA8F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571785"/>
    <w:multiLevelType w:val="hybridMultilevel"/>
    <w:tmpl w:val="DC1CA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9B2523"/>
    <w:multiLevelType w:val="multilevel"/>
    <w:tmpl w:val="B67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7509E"/>
    <w:multiLevelType w:val="hybridMultilevel"/>
    <w:tmpl w:val="3D1E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463F73"/>
    <w:multiLevelType w:val="hybridMultilevel"/>
    <w:tmpl w:val="E01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33F4F"/>
    <w:multiLevelType w:val="hybridMultilevel"/>
    <w:tmpl w:val="95D20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3B1FFB"/>
    <w:multiLevelType w:val="hybridMultilevel"/>
    <w:tmpl w:val="1A3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E2EEC"/>
    <w:multiLevelType w:val="hybridMultilevel"/>
    <w:tmpl w:val="7D48B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2E7DE1"/>
    <w:multiLevelType w:val="hybridMultilevel"/>
    <w:tmpl w:val="0BC042FE"/>
    <w:lvl w:ilvl="0" w:tplc="FA28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745B7"/>
    <w:multiLevelType w:val="hybridMultilevel"/>
    <w:tmpl w:val="AF1EB8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24242"/>
    <w:multiLevelType w:val="hybridMultilevel"/>
    <w:tmpl w:val="44A4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8068C"/>
    <w:multiLevelType w:val="hybridMultilevel"/>
    <w:tmpl w:val="62B8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D3119"/>
    <w:multiLevelType w:val="hybridMultilevel"/>
    <w:tmpl w:val="6D2ED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616092"/>
    <w:multiLevelType w:val="hybridMultilevel"/>
    <w:tmpl w:val="20C0A91E"/>
    <w:lvl w:ilvl="0" w:tplc="9A4014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F0302"/>
    <w:multiLevelType w:val="multilevel"/>
    <w:tmpl w:val="137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7"/>
  </w:num>
  <w:num w:numId="5">
    <w:abstractNumId w:val="12"/>
  </w:num>
  <w:num w:numId="6">
    <w:abstractNumId w:val="19"/>
  </w:num>
  <w:num w:numId="7">
    <w:abstractNumId w:val="1"/>
  </w:num>
  <w:num w:numId="8">
    <w:abstractNumId w:val="16"/>
  </w:num>
  <w:num w:numId="9">
    <w:abstractNumId w:val="11"/>
  </w:num>
  <w:num w:numId="10">
    <w:abstractNumId w:val="20"/>
  </w:num>
  <w:num w:numId="11">
    <w:abstractNumId w:val="24"/>
  </w:num>
  <w:num w:numId="12">
    <w:abstractNumId w:val="7"/>
  </w:num>
  <w:num w:numId="13">
    <w:abstractNumId w:val="23"/>
  </w:num>
  <w:num w:numId="14">
    <w:abstractNumId w:val="0"/>
  </w:num>
  <w:num w:numId="15">
    <w:abstractNumId w:val="10"/>
  </w:num>
  <w:num w:numId="16">
    <w:abstractNumId w:val="3"/>
  </w:num>
  <w:num w:numId="17">
    <w:abstractNumId w:val="14"/>
  </w:num>
  <w:num w:numId="18">
    <w:abstractNumId w:val="22"/>
  </w:num>
  <w:num w:numId="19">
    <w:abstractNumId w:val="5"/>
  </w:num>
  <w:num w:numId="20">
    <w:abstractNumId w:val="15"/>
  </w:num>
  <w:num w:numId="21">
    <w:abstractNumId w:val="9"/>
  </w:num>
  <w:num w:numId="22">
    <w:abstractNumId w:val="18"/>
  </w:num>
  <w:num w:numId="23">
    <w:abstractNumId w:val="13"/>
  </w:num>
  <w:num w:numId="24">
    <w:abstractNumId w:val="25"/>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FA"/>
    <w:rsid w:val="00000DB6"/>
    <w:rsid w:val="000375AD"/>
    <w:rsid w:val="00060F85"/>
    <w:rsid w:val="000622ED"/>
    <w:rsid w:val="00064883"/>
    <w:rsid w:val="00064FF3"/>
    <w:rsid w:val="00065D53"/>
    <w:rsid w:val="00070578"/>
    <w:rsid w:val="00076F60"/>
    <w:rsid w:val="00084937"/>
    <w:rsid w:val="0009670E"/>
    <w:rsid w:val="000A2E3D"/>
    <w:rsid w:val="000A75B6"/>
    <w:rsid w:val="000B0344"/>
    <w:rsid w:val="000B2235"/>
    <w:rsid w:val="000D4E77"/>
    <w:rsid w:val="000D5389"/>
    <w:rsid w:val="000D656E"/>
    <w:rsid w:val="000D6722"/>
    <w:rsid w:val="000E14F7"/>
    <w:rsid w:val="000F06CE"/>
    <w:rsid w:val="000F1F97"/>
    <w:rsid w:val="00107E33"/>
    <w:rsid w:val="00110EF7"/>
    <w:rsid w:val="001258A4"/>
    <w:rsid w:val="00130C4E"/>
    <w:rsid w:val="00130FBB"/>
    <w:rsid w:val="00136CFC"/>
    <w:rsid w:val="00150CB2"/>
    <w:rsid w:val="00150F4A"/>
    <w:rsid w:val="00152BF5"/>
    <w:rsid w:val="00155A43"/>
    <w:rsid w:val="0015758A"/>
    <w:rsid w:val="0016307A"/>
    <w:rsid w:val="00172497"/>
    <w:rsid w:val="001728E9"/>
    <w:rsid w:val="001A64DB"/>
    <w:rsid w:val="001B4DC5"/>
    <w:rsid w:val="001C5C9E"/>
    <w:rsid w:val="001C7096"/>
    <w:rsid w:val="001F1866"/>
    <w:rsid w:val="001F22FD"/>
    <w:rsid w:val="001F4473"/>
    <w:rsid w:val="001F6551"/>
    <w:rsid w:val="002035A1"/>
    <w:rsid w:val="00212278"/>
    <w:rsid w:val="00214BCB"/>
    <w:rsid w:val="00216075"/>
    <w:rsid w:val="0022595E"/>
    <w:rsid w:val="00232EF6"/>
    <w:rsid w:val="002347C1"/>
    <w:rsid w:val="00234C46"/>
    <w:rsid w:val="00234F5C"/>
    <w:rsid w:val="002463BB"/>
    <w:rsid w:val="00257881"/>
    <w:rsid w:val="0026186D"/>
    <w:rsid w:val="00271647"/>
    <w:rsid w:val="0027510E"/>
    <w:rsid w:val="002777F6"/>
    <w:rsid w:val="002826D3"/>
    <w:rsid w:val="002A049A"/>
    <w:rsid w:val="002A2C91"/>
    <w:rsid w:val="002A33DF"/>
    <w:rsid w:val="002A66E0"/>
    <w:rsid w:val="002B0F7B"/>
    <w:rsid w:val="002B4549"/>
    <w:rsid w:val="002C05BC"/>
    <w:rsid w:val="002C6442"/>
    <w:rsid w:val="002D213F"/>
    <w:rsid w:val="002D3CD6"/>
    <w:rsid w:val="002D4ED9"/>
    <w:rsid w:val="002E555B"/>
    <w:rsid w:val="002E6686"/>
    <w:rsid w:val="002F6D36"/>
    <w:rsid w:val="003152A7"/>
    <w:rsid w:val="003240DE"/>
    <w:rsid w:val="00325FF1"/>
    <w:rsid w:val="00344B6A"/>
    <w:rsid w:val="00345B46"/>
    <w:rsid w:val="00352A77"/>
    <w:rsid w:val="003649D2"/>
    <w:rsid w:val="00365F7F"/>
    <w:rsid w:val="003674A0"/>
    <w:rsid w:val="00374F6F"/>
    <w:rsid w:val="0038296E"/>
    <w:rsid w:val="00385508"/>
    <w:rsid w:val="00385B02"/>
    <w:rsid w:val="0039326D"/>
    <w:rsid w:val="003968FE"/>
    <w:rsid w:val="003A0552"/>
    <w:rsid w:val="003B7680"/>
    <w:rsid w:val="003C34B9"/>
    <w:rsid w:val="003D0190"/>
    <w:rsid w:val="003D642D"/>
    <w:rsid w:val="003E2962"/>
    <w:rsid w:val="003F46B4"/>
    <w:rsid w:val="00401D83"/>
    <w:rsid w:val="0040690D"/>
    <w:rsid w:val="00410A37"/>
    <w:rsid w:val="0042168A"/>
    <w:rsid w:val="004244E0"/>
    <w:rsid w:val="00431DAF"/>
    <w:rsid w:val="004346B5"/>
    <w:rsid w:val="0043786D"/>
    <w:rsid w:val="004408BD"/>
    <w:rsid w:val="004458CC"/>
    <w:rsid w:val="00453835"/>
    <w:rsid w:val="00457A87"/>
    <w:rsid w:val="004608D6"/>
    <w:rsid w:val="004644A5"/>
    <w:rsid w:val="00470251"/>
    <w:rsid w:val="00471D67"/>
    <w:rsid w:val="00480A1E"/>
    <w:rsid w:val="00480EA9"/>
    <w:rsid w:val="00494C05"/>
    <w:rsid w:val="004B2A16"/>
    <w:rsid w:val="004D2F08"/>
    <w:rsid w:val="004D4614"/>
    <w:rsid w:val="004D6179"/>
    <w:rsid w:val="004D7154"/>
    <w:rsid w:val="004E322E"/>
    <w:rsid w:val="004E5020"/>
    <w:rsid w:val="004F3210"/>
    <w:rsid w:val="004F6F1E"/>
    <w:rsid w:val="005061F8"/>
    <w:rsid w:val="00506528"/>
    <w:rsid w:val="00513874"/>
    <w:rsid w:val="00515E70"/>
    <w:rsid w:val="00517F30"/>
    <w:rsid w:val="005255E2"/>
    <w:rsid w:val="005300F2"/>
    <w:rsid w:val="00531125"/>
    <w:rsid w:val="00541200"/>
    <w:rsid w:val="0054560D"/>
    <w:rsid w:val="00547ABE"/>
    <w:rsid w:val="00553E59"/>
    <w:rsid w:val="00565F4B"/>
    <w:rsid w:val="005872FB"/>
    <w:rsid w:val="005935DA"/>
    <w:rsid w:val="00596DA6"/>
    <w:rsid w:val="005A198C"/>
    <w:rsid w:val="005B5AAD"/>
    <w:rsid w:val="005C0BFF"/>
    <w:rsid w:val="005D06CA"/>
    <w:rsid w:val="005E1366"/>
    <w:rsid w:val="005F2AFA"/>
    <w:rsid w:val="00602AD7"/>
    <w:rsid w:val="00613E4E"/>
    <w:rsid w:val="006155EE"/>
    <w:rsid w:val="00616552"/>
    <w:rsid w:val="00617B93"/>
    <w:rsid w:val="00642D78"/>
    <w:rsid w:val="00643A34"/>
    <w:rsid w:val="0066343E"/>
    <w:rsid w:val="00664EDB"/>
    <w:rsid w:val="00682A1B"/>
    <w:rsid w:val="00694739"/>
    <w:rsid w:val="006957C3"/>
    <w:rsid w:val="00696EFD"/>
    <w:rsid w:val="00697948"/>
    <w:rsid w:val="00697AEF"/>
    <w:rsid w:val="006A0B9F"/>
    <w:rsid w:val="006A3F5E"/>
    <w:rsid w:val="006B23FE"/>
    <w:rsid w:val="006B6404"/>
    <w:rsid w:val="006C1B95"/>
    <w:rsid w:val="006C7601"/>
    <w:rsid w:val="006E7FE5"/>
    <w:rsid w:val="007050CD"/>
    <w:rsid w:val="00705748"/>
    <w:rsid w:val="00705830"/>
    <w:rsid w:val="007200A8"/>
    <w:rsid w:val="00730FDA"/>
    <w:rsid w:val="00732917"/>
    <w:rsid w:val="0073543A"/>
    <w:rsid w:val="007430A6"/>
    <w:rsid w:val="0074527C"/>
    <w:rsid w:val="00751C70"/>
    <w:rsid w:val="00760337"/>
    <w:rsid w:val="007618EC"/>
    <w:rsid w:val="00767A69"/>
    <w:rsid w:val="007709BC"/>
    <w:rsid w:val="00770A56"/>
    <w:rsid w:val="00772249"/>
    <w:rsid w:val="00777028"/>
    <w:rsid w:val="00780A6A"/>
    <w:rsid w:val="00786B56"/>
    <w:rsid w:val="00787FB7"/>
    <w:rsid w:val="007916B3"/>
    <w:rsid w:val="00792EFF"/>
    <w:rsid w:val="007A0A42"/>
    <w:rsid w:val="007A1B57"/>
    <w:rsid w:val="007A6FC7"/>
    <w:rsid w:val="007C1557"/>
    <w:rsid w:val="007D380E"/>
    <w:rsid w:val="007E1C98"/>
    <w:rsid w:val="007F41C6"/>
    <w:rsid w:val="00804D28"/>
    <w:rsid w:val="00811826"/>
    <w:rsid w:val="008169AC"/>
    <w:rsid w:val="00820B82"/>
    <w:rsid w:val="00823949"/>
    <w:rsid w:val="00827711"/>
    <w:rsid w:val="00834F79"/>
    <w:rsid w:val="008359FA"/>
    <w:rsid w:val="00842BF2"/>
    <w:rsid w:val="00842F28"/>
    <w:rsid w:val="008452A2"/>
    <w:rsid w:val="0084621A"/>
    <w:rsid w:val="00855917"/>
    <w:rsid w:val="00883989"/>
    <w:rsid w:val="0088403C"/>
    <w:rsid w:val="00884E6B"/>
    <w:rsid w:val="00890753"/>
    <w:rsid w:val="008940EF"/>
    <w:rsid w:val="008A6F23"/>
    <w:rsid w:val="008B0D6A"/>
    <w:rsid w:val="008D099E"/>
    <w:rsid w:val="008E1E44"/>
    <w:rsid w:val="008F764E"/>
    <w:rsid w:val="00905424"/>
    <w:rsid w:val="00922871"/>
    <w:rsid w:val="00925265"/>
    <w:rsid w:val="00933000"/>
    <w:rsid w:val="00935AE7"/>
    <w:rsid w:val="00940582"/>
    <w:rsid w:val="009421FC"/>
    <w:rsid w:val="0095573E"/>
    <w:rsid w:val="00956AB3"/>
    <w:rsid w:val="00956EDA"/>
    <w:rsid w:val="00991364"/>
    <w:rsid w:val="0099379F"/>
    <w:rsid w:val="009947B6"/>
    <w:rsid w:val="009A1114"/>
    <w:rsid w:val="009A1BFA"/>
    <w:rsid w:val="009C7D50"/>
    <w:rsid w:val="009D2CC5"/>
    <w:rsid w:val="009F1569"/>
    <w:rsid w:val="009F3110"/>
    <w:rsid w:val="009F4119"/>
    <w:rsid w:val="00A03784"/>
    <w:rsid w:val="00A04A01"/>
    <w:rsid w:val="00A04E70"/>
    <w:rsid w:val="00A07D23"/>
    <w:rsid w:val="00A1236B"/>
    <w:rsid w:val="00A1298F"/>
    <w:rsid w:val="00A1350F"/>
    <w:rsid w:val="00A17A89"/>
    <w:rsid w:val="00A22ACF"/>
    <w:rsid w:val="00A25F90"/>
    <w:rsid w:val="00A319BE"/>
    <w:rsid w:val="00A36F6A"/>
    <w:rsid w:val="00A37C66"/>
    <w:rsid w:val="00A4010B"/>
    <w:rsid w:val="00A42285"/>
    <w:rsid w:val="00A4601A"/>
    <w:rsid w:val="00A60F46"/>
    <w:rsid w:val="00A70552"/>
    <w:rsid w:val="00A922B8"/>
    <w:rsid w:val="00A93961"/>
    <w:rsid w:val="00AA0451"/>
    <w:rsid w:val="00AA324C"/>
    <w:rsid w:val="00AA4365"/>
    <w:rsid w:val="00AA7191"/>
    <w:rsid w:val="00AA71A7"/>
    <w:rsid w:val="00AB065B"/>
    <w:rsid w:val="00AB7462"/>
    <w:rsid w:val="00AC4D7B"/>
    <w:rsid w:val="00AE0F9B"/>
    <w:rsid w:val="00AF2756"/>
    <w:rsid w:val="00AF720C"/>
    <w:rsid w:val="00B0234B"/>
    <w:rsid w:val="00B10CE0"/>
    <w:rsid w:val="00B160A2"/>
    <w:rsid w:val="00B24ADB"/>
    <w:rsid w:val="00B257FF"/>
    <w:rsid w:val="00B26A73"/>
    <w:rsid w:val="00B35625"/>
    <w:rsid w:val="00B379D0"/>
    <w:rsid w:val="00B43398"/>
    <w:rsid w:val="00B46E4D"/>
    <w:rsid w:val="00B52FE3"/>
    <w:rsid w:val="00B57A08"/>
    <w:rsid w:val="00B61848"/>
    <w:rsid w:val="00B643D7"/>
    <w:rsid w:val="00B670C1"/>
    <w:rsid w:val="00B73F15"/>
    <w:rsid w:val="00B75048"/>
    <w:rsid w:val="00B815A8"/>
    <w:rsid w:val="00B85648"/>
    <w:rsid w:val="00BC3124"/>
    <w:rsid w:val="00BC3414"/>
    <w:rsid w:val="00BD6D31"/>
    <w:rsid w:val="00BD7660"/>
    <w:rsid w:val="00BE49B2"/>
    <w:rsid w:val="00BE78F2"/>
    <w:rsid w:val="00BF4849"/>
    <w:rsid w:val="00C00A2A"/>
    <w:rsid w:val="00C01F8C"/>
    <w:rsid w:val="00C07443"/>
    <w:rsid w:val="00C11E28"/>
    <w:rsid w:val="00C15493"/>
    <w:rsid w:val="00C15B1E"/>
    <w:rsid w:val="00C20BEC"/>
    <w:rsid w:val="00C2771C"/>
    <w:rsid w:val="00C51369"/>
    <w:rsid w:val="00C561BA"/>
    <w:rsid w:val="00C61D46"/>
    <w:rsid w:val="00C63592"/>
    <w:rsid w:val="00C66E1C"/>
    <w:rsid w:val="00C73DF2"/>
    <w:rsid w:val="00C75E84"/>
    <w:rsid w:val="00C80922"/>
    <w:rsid w:val="00C87C31"/>
    <w:rsid w:val="00C9410B"/>
    <w:rsid w:val="00CA34BE"/>
    <w:rsid w:val="00CA62F2"/>
    <w:rsid w:val="00CB0865"/>
    <w:rsid w:val="00CB1EB3"/>
    <w:rsid w:val="00CB2086"/>
    <w:rsid w:val="00CB3F8A"/>
    <w:rsid w:val="00CD1C35"/>
    <w:rsid w:val="00CD331B"/>
    <w:rsid w:val="00CD616C"/>
    <w:rsid w:val="00CF0A46"/>
    <w:rsid w:val="00D02599"/>
    <w:rsid w:val="00D03E5B"/>
    <w:rsid w:val="00D03FAB"/>
    <w:rsid w:val="00D0480C"/>
    <w:rsid w:val="00D06204"/>
    <w:rsid w:val="00D1092F"/>
    <w:rsid w:val="00D126AB"/>
    <w:rsid w:val="00D12FA7"/>
    <w:rsid w:val="00D13CFD"/>
    <w:rsid w:val="00D20688"/>
    <w:rsid w:val="00D26E1C"/>
    <w:rsid w:val="00D37732"/>
    <w:rsid w:val="00D630B8"/>
    <w:rsid w:val="00D66DDE"/>
    <w:rsid w:val="00D67E0F"/>
    <w:rsid w:val="00D739FF"/>
    <w:rsid w:val="00D75EC5"/>
    <w:rsid w:val="00D80619"/>
    <w:rsid w:val="00D80D8F"/>
    <w:rsid w:val="00D85698"/>
    <w:rsid w:val="00D915F6"/>
    <w:rsid w:val="00D95739"/>
    <w:rsid w:val="00DA0A67"/>
    <w:rsid w:val="00DA33FE"/>
    <w:rsid w:val="00DA436F"/>
    <w:rsid w:val="00DA707F"/>
    <w:rsid w:val="00DC2C71"/>
    <w:rsid w:val="00DC7420"/>
    <w:rsid w:val="00DD0142"/>
    <w:rsid w:val="00DD12EA"/>
    <w:rsid w:val="00DD3701"/>
    <w:rsid w:val="00DE6B2B"/>
    <w:rsid w:val="00DF181A"/>
    <w:rsid w:val="00DF3C72"/>
    <w:rsid w:val="00E03BEA"/>
    <w:rsid w:val="00E10F23"/>
    <w:rsid w:val="00E12E06"/>
    <w:rsid w:val="00E162DC"/>
    <w:rsid w:val="00E2017B"/>
    <w:rsid w:val="00E2051F"/>
    <w:rsid w:val="00E20AB0"/>
    <w:rsid w:val="00E32618"/>
    <w:rsid w:val="00E34461"/>
    <w:rsid w:val="00E434BD"/>
    <w:rsid w:val="00E52879"/>
    <w:rsid w:val="00E559AA"/>
    <w:rsid w:val="00E56000"/>
    <w:rsid w:val="00E5796A"/>
    <w:rsid w:val="00E60788"/>
    <w:rsid w:val="00E6727B"/>
    <w:rsid w:val="00E67AA1"/>
    <w:rsid w:val="00E70E40"/>
    <w:rsid w:val="00E71393"/>
    <w:rsid w:val="00E73324"/>
    <w:rsid w:val="00E76439"/>
    <w:rsid w:val="00E76704"/>
    <w:rsid w:val="00E77AF7"/>
    <w:rsid w:val="00E80417"/>
    <w:rsid w:val="00E805E1"/>
    <w:rsid w:val="00E948FF"/>
    <w:rsid w:val="00EA1786"/>
    <w:rsid w:val="00EA339A"/>
    <w:rsid w:val="00EB32BB"/>
    <w:rsid w:val="00EC19CF"/>
    <w:rsid w:val="00ED2813"/>
    <w:rsid w:val="00ED2E1E"/>
    <w:rsid w:val="00ED451F"/>
    <w:rsid w:val="00EE4E60"/>
    <w:rsid w:val="00EE680A"/>
    <w:rsid w:val="00F0079D"/>
    <w:rsid w:val="00F00D95"/>
    <w:rsid w:val="00F038D8"/>
    <w:rsid w:val="00F0649B"/>
    <w:rsid w:val="00F16C57"/>
    <w:rsid w:val="00F44661"/>
    <w:rsid w:val="00F50ECD"/>
    <w:rsid w:val="00F53E21"/>
    <w:rsid w:val="00F562C6"/>
    <w:rsid w:val="00F71DCD"/>
    <w:rsid w:val="00F72B8F"/>
    <w:rsid w:val="00F84A74"/>
    <w:rsid w:val="00F9063C"/>
    <w:rsid w:val="00F92A31"/>
    <w:rsid w:val="00FA6185"/>
    <w:rsid w:val="00FC13FB"/>
    <w:rsid w:val="00FD4A53"/>
    <w:rsid w:val="00FE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D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FA"/>
  </w:style>
  <w:style w:type="paragraph" w:styleId="Heading1">
    <w:name w:val="heading 1"/>
    <w:basedOn w:val="Normal"/>
    <w:link w:val="Heading1Char"/>
    <w:uiPriority w:val="9"/>
    <w:qFormat/>
    <w:rsid w:val="00DE6B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4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4D"/>
    <w:pPr>
      <w:ind w:left="720"/>
      <w:contextualSpacing/>
    </w:pPr>
  </w:style>
  <w:style w:type="paragraph" w:customStyle="1" w:styleId="Normal1">
    <w:name w:val="Normal1"/>
    <w:rsid w:val="003D0190"/>
    <w:pPr>
      <w:spacing w:after="0"/>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1B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5"/>
    <w:rPr>
      <w:rFonts w:ascii="Tahoma" w:hAnsi="Tahoma" w:cs="Tahoma"/>
      <w:sz w:val="16"/>
      <w:szCs w:val="16"/>
    </w:rPr>
  </w:style>
  <w:style w:type="paragraph" w:styleId="PlainText">
    <w:name w:val="Plain Text"/>
    <w:basedOn w:val="Normal"/>
    <w:link w:val="PlainTextChar"/>
    <w:rsid w:val="00DC74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C742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1366"/>
    <w:rPr>
      <w:sz w:val="16"/>
      <w:szCs w:val="16"/>
    </w:rPr>
  </w:style>
  <w:style w:type="paragraph" w:styleId="CommentText">
    <w:name w:val="annotation text"/>
    <w:basedOn w:val="Normal"/>
    <w:link w:val="CommentTextChar"/>
    <w:uiPriority w:val="99"/>
    <w:semiHidden/>
    <w:unhideWhenUsed/>
    <w:rsid w:val="005E1366"/>
    <w:pPr>
      <w:spacing w:line="240" w:lineRule="auto"/>
    </w:pPr>
    <w:rPr>
      <w:sz w:val="20"/>
      <w:szCs w:val="20"/>
    </w:rPr>
  </w:style>
  <w:style w:type="character" w:customStyle="1" w:styleId="CommentTextChar">
    <w:name w:val="Comment Text Char"/>
    <w:basedOn w:val="DefaultParagraphFont"/>
    <w:link w:val="CommentText"/>
    <w:uiPriority w:val="99"/>
    <w:semiHidden/>
    <w:rsid w:val="005E1366"/>
    <w:rPr>
      <w:sz w:val="20"/>
      <w:szCs w:val="20"/>
    </w:rPr>
  </w:style>
  <w:style w:type="paragraph" w:styleId="CommentSubject">
    <w:name w:val="annotation subject"/>
    <w:basedOn w:val="CommentText"/>
    <w:next w:val="CommentText"/>
    <w:link w:val="CommentSubjectChar"/>
    <w:uiPriority w:val="99"/>
    <w:semiHidden/>
    <w:unhideWhenUsed/>
    <w:rsid w:val="005E1366"/>
    <w:rPr>
      <w:b/>
      <w:bCs/>
    </w:rPr>
  </w:style>
  <w:style w:type="character" w:customStyle="1" w:styleId="CommentSubjectChar">
    <w:name w:val="Comment Subject Char"/>
    <w:basedOn w:val="CommentTextChar"/>
    <w:link w:val="CommentSubject"/>
    <w:uiPriority w:val="99"/>
    <w:semiHidden/>
    <w:rsid w:val="005E1366"/>
    <w:rPr>
      <w:b/>
      <w:bCs/>
      <w:sz w:val="20"/>
      <w:szCs w:val="20"/>
    </w:rPr>
  </w:style>
  <w:style w:type="character" w:styleId="Strong">
    <w:name w:val="Strong"/>
    <w:basedOn w:val="DefaultParagraphFont"/>
    <w:qFormat/>
    <w:rsid w:val="007D380E"/>
    <w:rPr>
      <w:b/>
      <w:bCs/>
    </w:rPr>
  </w:style>
  <w:style w:type="table" w:styleId="TableGrid">
    <w:name w:val="Table Grid"/>
    <w:basedOn w:val="TableNormal"/>
    <w:uiPriority w:val="59"/>
    <w:rsid w:val="004D4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6B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6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B2B"/>
    <w:rPr>
      <w:i/>
      <w:iCs/>
    </w:rPr>
  </w:style>
  <w:style w:type="character" w:styleId="HTMLAcronym">
    <w:name w:val="HTML Acronym"/>
    <w:basedOn w:val="DefaultParagraphFont"/>
    <w:uiPriority w:val="99"/>
    <w:semiHidden/>
    <w:unhideWhenUsed/>
    <w:rsid w:val="00DE6B2B"/>
  </w:style>
  <w:style w:type="character" w:styleId="Hyperlink">
    <w:name w:val="Hyperlink"/>
    <w:basedOn w:val="DefaultParagraphFont"/>
    <w:uiPriority w:val="99"/>
    <w:unhideWhenUsed/>
    <w:rsid w:val="003F46B4"/>
    <w:rPr>
      <w:color w:val="0000FF" w:themeColor="hyperlink"/>
      <w:u w:val="single"/>
    </w:rPr>
  </w:style>
  <w:style w:type="paragraph" w:styleId="Header">
    <w:name w:val="header"/>
    <w:basedOn w:val="Normal"/>
    <w:link w:val="HeaderChar"/>
    <w:uiPriority w:val="99"/>
    <w:unhideWhenUsed/>
    <w:rsid w:val="00BE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B2"/>
  </w:style>
  <w:style w:type="paragraph" w:styleId="Footer">
    <w:name w:val="footer"/>
    <w:basedOn w:val="Normal"/>
    <w:link w:val="FooterChar"/>
    <w:uiPriority w:val="99"/>
    <w:unhideWhenUsed/>
    <w:rsid w:val="00BE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B2"/>
  </w:style>
  <w:style w:type="character" w:styleId="HTMLCite">
    <w:name w:val="HTML Cite"/>
    <w:basedOn w:val="DefaultParagraphFont"/>
    <w:uiPriority w:val="99"/>
    <w:semiHidden/>
    <w:unhideWhenUsed/>
    <w:rsid w:val="00B57A08"/>
    <w:rPr>
      <w:i/>
      <w:iCs/>
    </w:rPr>
  </w:style>
  <w:style w:type="character" w:customStyle="1" w:styleId="Heading3Char">
    <w:name w:val="Heading 3 Char"/>
    <w:basedOn w:val="DefaultParagraphFont"/>
    <w:link w:val="Heading3"/>
    <w:uiPriority w:val="9"/>
    <w:semiHidden/>
    <w:rsid w:val="00F84A7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FA"/>
  </w:style>
  <w:style w:type="paragraph" w:styleId="Heading1">
    <w:name w:val="heading 1"/>
    <w:basedOn w:val="Normal"/>
    <w:link w:val="Heading1Char"/>
    <w:uiPriority w:val="9"/>
    <w:qFormat/>
    <w:rsid w:val="00DE6B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4A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4D"/>
    <w:pPr>
      <w:ind w:left="720"/>
      <w:contextualSpacing/>
    </w:pPr>
  </w:style>
  <w:style w:type="paragraph" w:customStyle="1" w:styleId="Normal1">
    <w:name w:val="Normal1"/>
    <w:rsid w:val="003D0190"/>
    <w:pPr>
      <w:spacing w:after="0"/>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1B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5"/>
    <w:rPr>
      <w:rFonts w:ascii="Tahoma" w:hAnsi="Tahoma" w:cs="Tahoma"/>
      <w:sz w:val="16"/>
      <w:szCs w:val="16"/>
    </w:rPr>
  </w:style>
  <w:style w:type="paragraph" w:styleId="PlainText">
    <w:name w:val="Plain Text"/>
    <w:basedOn w:val="Normal"/>
    <w:link w:val="PlainTextChar"/>
    <w:rsid w:val="00DC74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C742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1366"/>
    <w:rPr>
      <w:sz w:val="16"/>
      <w:szCs w:val="16"/>
    </w:rPr>
  </w:style>
  <w:style w:type="paragraph" w:styleId="CommentText">
    <w:name w:val="annotation text"/>
    <w:basedOn w:val="Normal"/>
    <w:link w:val="CommentTextChar"/>
    <w:uiPriority w:val="99"/>
    <w:semiHidden/>
    <w:unhideWhenUsed/>
    <w:rsid w:val="005E1366"/>
    <w:pPr>
      <w:spacing w:line="240" w:lineRule="auto"/>
    </w:pPr>
    <w:rPr>
      <w:sz w:val="20"/>
      <w:szCs w:val="20"/>
    </w:rPr>
  </w:style>
  <w:style w:type="character" w:customStyle="1" w:styleId="CommentTextChar">
    <w:name w:val="Comment Text Char"/>
    <w:basedOn w:val="DefaultParagraphFont"/>
    <w:link w:val="CommentText"/>
    <w:uiPriority w:val="99"/>
    <w:semiHidden/>
    <w:rsid w:val="005E1366"/>
    <w:rPr>
      <w:sz w:val="20"/>
      <w:szCs w:val="20"/>
    </w:rPr>
  </w:style>
  <w:style w:type="paragraph" w:styleId="CommentSubject">
    <w:name w:val="annotation subject"/>
    <w:basedOn w:val="CommentText"/>
    <w:next w:val="CommentText"/>
    <w:link w:val="CommentSubjectChar"/>
    <w:uiPriority w:val="99"/>
    <w:semiHidden/>
    <w:unhideWhenUsed/>
    <w:rsid w:val="005E1366"/>
    <w:rPr>
      <w:b/>
      <w:bCs/>
    </w:rPr>
  </w:style>
  <w:style w:type="character" w:customStyle="1" w:styleId="CommentSubjectChar">
    <w:name w:val="Comment Subject Char"/>
    <w:basedOn w:val="CommentTextChar"/>
    <w:link w:val="CommentSubject"/>
    <w:uiPriority w:val="99"/>
    <w:semiHidden/>
    <w:rsid w:val="005E1366"/>
    <w:rPr>
      <w:b/>
      <w:bCs/>
      <w:sz w:val="20"/>
      <w:szCs w:val="20"/>
    </w:rPr>
  </w:style>
  <w:style w:type="character" w:styleId="Strong">
    <w:name w:val="Strong"/>
    <w:basedOn w:val="DefaultParagraphFont"/>
    <w:qFormat/>
    <w:rsid w:val="007D380E"/>
    <w:rPr>
      <w:b/>
      <w:bCs/>
    </w:rPr>
  </w:style>
  <w:style w:type="table" w:styleId="TableGrid">
    <w:name w:val="Table Grid"/>
    <w:basedOn w:val="TableNormal"/>
    <w:uiPriority w:val="59"/>
    <w:rsid w:val="004D4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6B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6B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B2B"/>
    <w:rPr>
      <w:i/>
      <w:iCs/>
    </w:rPr>
  </w:style>
  <w:style w:type="character" w:styleId="HTMLAcronym">
    <w:name w:val="HTML Acronym"/>
    <w:basedOn w:val="DefaultParagraphFont"/>
    <w:uiPriority w:val="99"/>
    <w:semiHidden/>
    <w:unhideWhenUsed/>
    <w:rsid w:val="00DE6B2B"/>
  </w:style>
  <w:style w:type="character" w:styleId="Hyperlink">
    <w:name w:val="Hyperlink"/>
    <w:basedOn w:val="DefaultParagraphFont"/>
    <w:uiPriority w:val="99"/>
    <w:unhideWhenUsed/>
    <w:rsid w:val="003F46B4"/>
    <w:rPr>
      <w:color w:val="0000FF" w:themeColor="hyperlink"/>
      <w:u w:val="single"/>
    </w:rPr>
  </w:style>
  <w:style w:type="paragraph" w:styleId="Header">
    <w:name w:val="header"/>
    <w:basedOn w:val="Normal"/>
    <w:link w:val="HeaderChar"/>
    <w:uiPriority w:val="99"/>
    <w:unhideWhenUsed/>
    <w:rsid w:val="00BE4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B2"/>
  </w:style>
  <w:style w:type="paragraph" w:styleId="Footer">
    <w:name w:val="footer"/>
    <w:basedOn w:val="Normal"/>
    <w:link w:val="FooterChar"/>
    <w:uiPriority w:val="99"/>
    <w:unhideWhenUsed/>
    <w:rsid w:val="00BE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B2"/>
  </w:style>
  <w:style w:type="character" w:styleId="HTMLCite">
    <w:name w:val="HTML Cite"/>
    <w:basedOn w:val="DefaultParagraphFont"/>
    <w:uiPriority w:val="99"/>
    <w:semiHidden/>
    <w:unhideWhenUsed/>
    <w:rsid w:val="00B57A08"/>
    <w:rPr>
      <w:i/>
      <w:iCs/>
    </w:rPr>
  </w:style>
  <w:style w:type="character" w:customStyle="1" w:styleId="Heading3Char">
    <w:name w:val="Heading 3 Char"/>
    <w:basedOn w:val="DefaultParagraphFont"/>
    <w:link w:val="Heading3"/>
    <w:uiPriority w:val="9"/>
    <w:semiHidden/>
    <w:rsid w:val="00F84A7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5002">
      <w:bodyDiv w:val="1"/>
      <w:marLeft w:val="0"/>
      <w:marRight w:val="0"/>
      <w:marTop w:val="0"/>
      <w:marBottom w:val="0"/>
      <w:divBdr>
        <w:top w:val="none" w:sz="0" w:space="0" w:color="auto"/>
        <w:left w:val="none" w:sz="0" w:space="0" w:color="auto"/>
        <w:bottom w:val="none" w:sz="0" w:space="0" w:color="auto"/>
        <w:right w:val="none" w:sz="0" w:space="0" w:color="auto"/>
      </w:divBdr>
    </w:div>
    <w:div w:id="467360830">
      <w:bodyDiv w:val="1"/>
      <w:marLeft w:val="0"/>
      <w:marRight w:val="0"/>
      <w:marTop w:val="0"/>
      <w:marBottom w:val="0"/>
      <w:divBdr>
        <w:top w:val="none" w:sz="0" w:space="0" w:color="auto"/>
        <w:left w:val="none" w:sz="0" w:space="0" w:color="auto"/>
        <w:bottom w:val="none" w:sz="0" w:space="0" w:color="auto"/>
        <w:right w:val="none" w:sz="0" w:space="0" w:color="auto"/>
      </w:divBdr>
    </w:div>
    <w:div w:id="1038159965">
      <w:bodyDiv w:val="1"/>
      <w:marLeft w:val="0"/>
      <w:marRight w:val="0"/>
      <w:marTop w:val="0"/>
      <w:marBottom w:val="0"/>
      <w:divBdr>
        <w:top w:val="none" w:sz="0" w:space="0" w:color="auto"/>
        <w:left w:val="none" w:sz="0" w:space="0" w:color="auto"/>
        <w:bottom w:val="none" w:sz="0" w:space="0" w:color="auto"/>
        <w:right w:val="none" w:sz="0" w:space="0" w:color="auto"/>
      </w:divBdr>
      <w:divsChild>
        <w:div w:id="110712242">
          <w:marLeft w:val="0"/>
          <w:marRight w:val="0"/>
          <w:marTop w:val="0"/>
          <w:marBottom w:val="0"/>
          <w:divBdr>
            <w:top w:val="none" w:sz="0" w:space="0" w:color="auto"/>
            <w:left w:val="none" w:sz="0" w:space="0" w:color="auto"/>
            <w:bottom w:val="none" w:sz="0" w:space="0" w:color="auto"/>
            <w:right w:val="none" w:sz="0" w:space="0" w:color="auto"/>
          </w:divBdr>
        </w:div>
        <w:div w:id="890193013">
          <w:marLeft w:val="0"/>
          <w:marRight w:val="0"/>
          <w:marTop w:val="0"/>
          <w:marBottom w:val="0"/>
          <w:divBdr>
            <w:top w:val="none" w:sz="0" w:space="0" w:color="auto"/>
            <w:left w:val="none" w:sz="0" w:space="0" w:color="auto"/>
            <w:bottom w:val="none" w:sz="0" w:space="0" w:color="auto"/>
            <w:right w:val="none" w:sz="0" w:space="0" w:color="auto"/>
          </w:divBdr>
        </w:div>
        <w:div w:id="1388384303">
          <w:marLeft w:val="0"/>
          <w:marRight w:val="0"/>
          <w:marTop w:val="0"/>
          <w:marBottom w:val="0"/>
          <w:divBdr>
            <w:top w:val="none" w:sz="0" w:space="0" w:color="auto"/>
            <w:left w:val="none" w:sz="0" w:space="0" w:color="auto"/>
            <w:bottom w:val="none" w:sz="0" w:space="0" w:color="auto"/>
            <w:right w:val="none" w:sz="0" w:space="0" w:color="auto"/>
          </w:divBdr>
        </w:div>
        <w:div w:id="1998342619">
          <w:marLeft w:val="0"/>
          <w:marRight w:val="0"/>
          <w:marTop w:val="0"/>
          <w:marBottom w:val="0"/>
          <w:divBdr>
            <w:top w:val="none" w:sz="0" w:space="0" w:color="auto"/>
            <w:left w:val="none" w:sz="0" w:space="0" w:color="auto"/>
            <w:bottom w:val="none" w:sz="0" w:space="0" w:color="auto"/>
            <w:right w:val="none" w:sz="0" w:space="0" w:color="auto"/>
          </w:divBdr>
        </w:div>
        <w:div w:id="54017436">
          <w:marLeft w:val="0"/>
          <w:marRight w:val="0"/>
          <w:marTop w:val="0"/>
          <w:marBottom w:val="0"/>
          <w:divBdr>
            <w:top w:val="none" w:sz="0" w:space="0" w:color="auto"/>
            <w:left w:val="none" w:sz="0" w:space="0" w:color="auto"/>
            <w:bottom w:val="none" w:sz="0" w:space="0" w:color="auto"/>
            <w:right w:val="none" w:sz="0" w:space="0" w:color="auto"/>
          </w:divBdr>
        </w:div>
        <w:div w:id="334067050">
          <w:marLeft w:val="0"/>
          <w:marRight w:val="0"/>
          <w:marTop w:val="0"/>
          <w:marBottom w:val="0"/>
          <w:divBdr>
            <w:top w:val="none" w:sz="0" w:space="0" w:color="auto"/>
            <w:left w:val="none" w:sz="0" w:space="0" w:color="auto"/>
            <w:bottom w:val="none" w:sz="0" w:space="0" w:color="auto"/>
            <w:right w:val="none" w:sz="0" w:space="0" w:color="auto"/>
          </w:divBdr>
        </w:div>
        <w:div w:id="133061339">
          <w:marLeft w:val="0"/>
          <w:marRight w:val="0"/>
          <w:marTop w:val="0"/>
          <w:marBottom w:val="0"/>
          <w:divBdr>
            <w:top w:val="none" w:sz="0" w:space="0" w:color="auto"/>
            <w:left w:val="none" w:sz="0" w:space="0" w:color="auto"/>
            <w:bottom w:val="none" w:sz="0" w:space="0" w:color="auto"/>
            <w:right w:val="none" w:sz="0" w:space="0" w:color="auto"/>
          </w:divBdr>
        </w:div>
        <w:div w:id="905847060">
          <w:marLeft w:val="0"/>
          <w:marRight w:val="0"/>
          <w:marTop w:val="0"/>
          <w:marBottom w:val="0"/>
          <w:divBdr>
            <w:top w:val="none" w:sz="0" w:space="0" w:color="auto"/>
            <w:left w:val="none" w:sz="0" w:space="0" w:color="auto"/>
            <w:bottom w:val="none" w:sz="0" w:space="0" w:color="auto"/>
            <w:right w:val="none" w:sz="0" w:space="0" w:color="auto"/>
          </w:divBdr>
        </w:div>
        <w:div w:id="2092309722">
          <w:marLeft w:val="0"/>
          <w:marRight w:val="0"/>
          <w:marTop w:val="0"/>
          <w:marBottom w:val="0"/>
          <w:divBdr>
            <w:top w:val="none" w:sz="0" w:space="0" w:color="auto"/>
            <w:left w:val="none" w:sz="0" w:space="0" w:color="auto"/>
            <w:bottom w:val="none" w:sz="0" w:space="0" w:color="auto"/>
            <w:right w:val="none" w:sz="0" w:space="0" w:color="auto"/>
          </w:divBdr>
        </w:div>
        <w:div w:id="1817990731">
          <w:marLeft w:val="0"/>
          <w:marRight w:val="0"/>
          <w:marTop w:val="0"/>
          <w:marBottom w:val="0"/>
          <w:divBdr>
            <w:top w:val="none" w:sz="0" w:space="0" w:color="auto"/>
            <w:left w:val="none" w:sz="0" w:space="0" w:color="auto"/>
            <w:bottom w:val="none" w:sz="0" w:space="0" w:color="auto"/>
            <w:right w:val="none" w:sz="0" w:space="0" w:color="auto"/>
          </w:divBdr>
        </w:div>
        <w:div w:id="706372214">
          <w:marLeft w:val="0"/>
          <w:marRight w:val="0"/>
          <w:marTop w:val="0"/>
          <w:marBottom w:val="0"/>
          <w:divBdr>
            <w:top w:val="none" w:sz="0" w:space="0" w:color="auto"/>
            <w:left w:val="none" w:sz="0" w:space="0" w:color="auto"/>
            <w:bottom w:val="none" w:sz="0" w:space="0" w:color="auto"/>
            <w:right w:val="none" w:sz="0" w:space="0" w:color="auto"/>
          </w:divBdr>
        </w:div>
        <w:div w:id="1919829177">
          <w:marLeft w:val="0"/>
          <w:marRight w:val="0"/>
          <w:marTop w:val="0"/>
          <w:marBottom w:val="0"/>
          <w:divBdr>
            <w:top w:val="none" w:sz="0" w:space="0" w:color="auto"/>
            <w:left w:val="none" w:sz="0" w:space="0" w:color="auto"/>
            <w:bottom w:val="none" w:sz="0" w:space="0" w:color="auto"/>
            <w:right w:val="none" w:sz="0" w:space="0" w:color="auto"/>
          </w:divBdr>
        </w:div>
        <w:div w:id="295523682">
          <w:marLeft w:val="0"/>
          <w:marRight w:val="0"/>
          <w:marTop w:val="0"/>
          <w:marBottom w:val="0"/>
          <w:divBdr>
            <w:top w:val="none" w:sz="0" w:space="0" w:color="auto"/>
            <w:left w:val="none" w:sz="0" w:space="0" w:color="auto"/>
            <w:bottom w:val="none" w:sz="0" w:space="0" w:color="auto"/>
            <w:right w:val="none" w:sz="0" w:space="0" w:color="auto"/>
          </w:divBdr>
        </w:div>
        <w:div w:id="777876259">
          <w:marLeft w:val="0"/>
          <w:marRight w:val="0"/>
          <w:marTop w:val="0"/>
          <w:marBottom w:val="0"/>
          <w:divBdr>
            <w:top w:val="none" w:sz="0" w:space="0" w:color="auto"/>
            <w:left w:val="none" w:sz="0" w:space="0" w:color="auto"/>
            <w:bottom w:val="none" w:sz="0" w:space="0" w:color="auto"/>
            <w:right w:val="none" w:sz="0" w:space="0" w:color="auto"/>
          </w:divBdr>
        </w:div>
      </w:divsChild>
    </w:div>
    <w:div w:id="1643851678">
      <w:bodyDiv w:val="1"/>
      <w:marLeft w:val="0"/>
      <w:marRight w:val="0"/>
      <w:marTop w:val="0"/>
      <w:marBottom w:val="0"/>
      <w:divBdr>
        <w:top w:val="none" w:sz="0" w:space="0" w:color="auto"/>
        <w:left w:val="none" w:sz="0" w:space="0" w:color="auto"/>
        <w:bottom w:val="none" w:sz="0" w:space="0" w:color="auto"/>
        <w:right w:val="none" w:sz="0" w:space="0" w:color="auto"/>
      </w:divBdr>
    </w:div>
    <w:div w:id="1655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tore.ala.org/detail.aspx?ID=26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uncg.edu/reg/Bulletin/Current/UnivReq/GECProgram.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ncg.edu/reg/Bulletin/Current/UnivReq/GECProgram.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uncg.edu/reg/Bulletin/Current/Intro/VisionTeachLearn.aspx" TargetMode="External"/><Relationship Id="rId4" Type="http://schemas.microsoft.com/office/2007/relationships/stylesWithEffects" Target="stylesWithEffects.xml"/><Relationship Id="rId9" Type="http://schemas.openxmlformats.org/officeDocument/2006/relationships/hyperlink" Target="http://uncgtomorrow.uncg.edu/mi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9D8B-42BA-4118-885C-B196774F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8643</Words>
  <Characters>52797</Characters>
  <Application>Microsoft Office Word</Application>
  <DocSecurity>0</DocSecurity>
  <Lines>712</Lines>
  <Paragraphs>166</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61432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Cheryl Greenberg</cp:lastModifiedBy>
  <cp:revision>3</cp:revision>
  <cp:lastPrinted>2013-02-20T18:35:00Z</cp:lastPrinted>
  <dcterms:created xsi:type="dcterms:W3CDTF">2013-10-21T18:19:00Z</dcterms:created>
  <dcterms:modified xsi:type="dcterms:W3CDTF">2013-10-21T19:33:00Z</dcterms:modified>
</cp:coreProperties>
</file>